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D6C6" w14:textId="1BECC126" w:rsidR="006242A9" w:rsidRPr="008C54B7" w:rsidRDefault="006242A9" w:rsidP="00200D96">
      <w:pPr>
        <w:spacing w:after="120"/>
        <w:ind w:left="-15" w:firstLine="0"/>
        <w:rPr>
          <w:b/>
          <w:bCs/>
          <w:sz w:val="22"/>
        </w:rPr>
      </w:pPr>
      <w:r w:rsidRPr="008C54B7">
        <w:rPr>
          <w:b/>
          <w:bCs/>
          <w:sz w:val="22"/>
        </w:rPr>
        <w:t xml:space="preserve">Date: </w:t>
      </w:r>
      <w:r w:rsidRPr="008C54B7">
        <w:rPr>
          <w:sz w:val="22"/>
        </w:rPr>
        <w:t>&lt;</w:t>
      </w:r>
      <w:r w:rsidRPr="008C54B7">
        <w:rPr>
          <w:color w:val="2F5496" w:themeColor="accent1" w:themeShade="BF"/>
          <w:sz w:val="22"/>
        </w:rPr>
        <w:t>Insert Date</w:t>
      </w:r>
      <w:r w:rsidRPr="008C54B7">
        <w:rPr>
          <w:sz w:val="22"/>
        </w:rPr>
        <w:t>&gt;</w:t>
      </w:r>
    </w:p>
    <w:p w14:paraId="706C0B77" w14:textId="2B8924D0" w:rsidR="006242A9" w:rsidRPr="008C54B7" w:rsidRDefault="006242A9" w:rsidP="00200D96">
      <w:pPr>
        <w:spacing w:after="120"/>
        <w:ind w:left="-15" w:firstLine="0"/>
        <w:rPr>
          <w:b/>
          <w:bCs/>
          <w:sz w:val="22"/>
        </w:rPr>
      </w:pPr>
      <w:r w:rsidRPr="008C54B7">
        <w:rPr>
          <w:b/>
          <w:bCs/>
          <w:sz w:val="22"/>
        </w:rPr>
        <w:t xml:space="preserve">Payer Name: </w:t>
      </w:r>
      <w:r w:rsidR="00260954" w:rsidRPr="008C54B7">
        <w:rPr>
          <w:sz w:val="22"/>
        </w:rPr>
        <w:t>&lt;</w:t>
      </w:r>
      <w:r w:rsidR="00260954" w:rsidRPr="008C54B7">
        <w:rPr>
          <w:color w:val="2F5496" w:themeColor="accent1" w:themeShade="BF"/>
          <w:sz w:val="22"/>
        </w:rPr>
        <w:t>Insert Payer Name</w:t>
      </w:r>
      <w:r w:rsidR="00260954" w:rsidRPr="008C54B7">
        <w:rPr>
          <w:sz w:val="22"/>
        </w:rPr>
        <w:t>&gt;</w:t>
      </w:r>
    </w:p>
    <w:p w14:paraId="771DAA90" w14:textId="2283E25C" w:rsidR="001F459F" w:rsidRPr="008C54B7" w:rsidRDefault="007E660F" w:rsidP="00200D96">
      <w:pPr>
        <w:spacing w:after="120"/>
        <w:ind w:left="-15" w:firstLine="0"/>
        <w:rPr>
          <w:b/>
          <w:color w:val="FF66CC"/>
          <w:sz w:val="22"/>
        </w:rPr>
      </w:pPr>
      <w:r w:rsidRPr="008C54B7">
        <w:rPr>
          <w:b/>
          <w:bCs/>
          <w:sz w:val="22"/>
        </w:rPr>
        <w:t xml:space="preserve">Payer </w:t>
      </w:r>
      <w:r w:rsidR="006E37C4" w:rsidRPr="008C54B7">
        <w:rPr>
          <w:b/>
          <w:bCs/>
          <w:sz w:val="22"/>
        </w:rPr>
        <w:t>Address</w:t>
      </w:r>
      <w:r w:rsidR="006E37C4" w:rsidRPr="008C54B7">
        <w:rPr>
          <w:sz w:val="22"/>
        </w:rPr>
        <w:t xml:space="preserve">: </w:t>
      </w:r>
      <w:r w:rsidR="00B80A2E" w:rsidRPr="008C54B7">
        <w:rPr>
          <w:bCs/>
          <w:color w:val="000000" w:themeColor="text1"/>
          <w:sz w:val="22"/>
        </w:rPr>
        <w:t>&lt;</w:t>
      </w:r>
      <w:r w:rsidR="00B80A2E" w:rsidRPr="008C54B7">
        <w:rPr>
          <w:bCs/>
          <w:color w:val="2F5496" w:themeColor="accent1" w:themeShade="BF"/>
          <w:sz w:val="22"/>
        </w:rPr>
        <w:t>Insert Plan Address</w:t>
      </w:r>
      <w:r w:rsidR="00CA5ABF" w:rsidRPr="008C54B7">
        <w:rPr>
          <w:bCs/>
          <w:color w:val="000000" w:themeColor="text1"/>
          <w:sz w:val="22"/>
        </w:rPr>
        <w:t>&gt;</w:t>
      </w:r>
      <w:r w:rsidR="008E1E50" w:rsidRPr="008C54B7">
        <w:rPr>
          <w:b/>
          <w:color w:val="FF66CC"/>
          <w:sz w:val="22"/>
        </w:rPr>
        <w:t xml:space="preserve"> </w:t>
      </w:r>
      <w:r w:rsidR="008E1E50" w:rsidRPr="008C54B7">
        <w:rPr>
          <w:b/>
          <w:bCs/>
          <w:color w:val="FF66CC"/>
          <w:sz w:val="22"/>
        </w:rPr>
        <w:tab/>
      </w:r>
      <w:r w:rsidR="00CA5ABF" w:rsidRPr="008C54B7">
        <w:rPr>
          <w:b/>
          <w:bCs/>
          <w:color w:val="FF66CC"/>
          <w:sz w:val="22"/>
        </w:rPr>
        <w:tab/>
      </w:r>
      <w:r w:rsidRPr="008C54B7">
        <w:rPr>
          <w:b/>
          <w:bCs/>
          <w:sz w:val="22"/>
        </w:rPr>
        <w:t xml:space="preserve">Payer </w:t>
      </w:r>
      <w:r w:rsidR="006E37C4" w:rsidRPr="008C54B7">
        <w:rPr>
          <w:b/>
          <w:bCs/>
          <w:sz w:val="22"/>
        </w:rPr>
        <w:t>Fax Number:</w:t>
      </w:r>
      <w:r w:rsidR="006E37C4" w:rsidRPr="008C54B7">
        <w:rPr>
          <w:sz w:val="22"/>
        </w:rPr>
        <w:t xml:space="preserve"> </w:t>
      </w:r>
      <w:r w:rsidR="00CA5ABF" w:rsidRPr="008C54B7">
        <w:rPr>
          <w:bCs/>
          <w:color w:val="auto"/>
          <w:sz w:val="22"/>
        </w:rPr>
        <w:t>&lt;</w:t>
      </w:r>
      <w:r w:rsidR="00CA5ABF" w:rsidRPr="008C54B7">
        <w:rPr>
          <w:bCs/>
          <w:color w:val="2F5496" w:themeColor="accent1" w:themeShade="BF"/>
          <w:sz w:val="22"/>
        </w:rPr>
        <w:t>Insert Plan Fax Number</w:t>
      </w:r>
      <w:r w:rsidR="00CA5ABF" w:rsidRPr="008C54B7">
        <w:rPr>
          <w:bCs/>
          <w:color w:val="auto"/>
          <w:sz w:val="22"/>
        </w:rPr>
        <w:t>&gt;</w:t>
      </w:r>
    </w:p>
    <w:p w14:paraId="499E3E2E" w14:textId="188BEA8F" w:rsidR="00735261" w:rsidRPr="008C54B7" w:rsidRDefault="00B80A2E" w:rsidP="00735261">
      <w:pPr>
        <w:spacing w:after="120"/>
        <w:rPr>
          <w:sz w:val="22"/>
        </w:rPr>
      </w:pPr>
      <w:r w:rsidRPr="008C54B7">
        <w:rPr>
          <w:b/>
          <w:bCs/>
          <w:sz w:val="22"/>
        </w:rPr>
        <w:t>Attn:</w:t>
      </w:r>
      <w:r w:rsidRPr="008C54B7">
        <w:rPr>
          <w:sz w:val="22"/>
        </w:rPr>
        <w:t xml:space="preserve"> &lt;</w:t>
      </w:r>
      <w:r w:rsidRPr="008C54B7">
        <w:rPr>
          <w:color w:val="2F5496" w:themeColor="accent1" w:themeShade="BF"/>
          <w:sz w:val="22"/>
        </w:rPr>
        <w:t>Appeals Department</w:t>
      </w:r>
      <w:r w:rsidRPr="008C54B7">
        <w:rPr>
          <w:sz w:val="22"/>
        </w:rPr>
        <w:t>&gt;</w:t>
      </w:r>
    </w:p>
    <w:p w14:paraId="784BAEFA" w14:textId="0F5F99E9" w:rsidR="00CA5ABF" w:rsidRPr="008C54B7" w:rsidRDefault="00C11675" w:rsidP="008E1E50">
      <w:pPr>
        <w:spacing w:after="120"/>
        <w:ind w:left="-15" w:firstLine="0"/>
        <w:rPr>
          <w:b/>
          <w:bCs/>
          <w:color w:val="FF66CC"/>
          <w:sz w:val="22"/>
        </w:rPr>
      </w:pPr>
      <w:r w:rsidRPr="008C54B7">
        <w:rPr>
          <w:b/>
          <w:bCs/>
          <w:color w:val="FF66CC"/>
          <w:sz w:val="22"/>
        </w:rPr>
        <w:t xml:space="preserve"> </w:t>
      </w:r>
    </w:p>
    <w:p w14:paraId="0D05428A" w14:textId="75D88B29" w:rsidR="007E660F" w:rsidRPr="008C54B7" w:rsidRDefault="00E304C6" w:rsidP="008E1E50">
      <w:pPr>
        <w:spacing w:after="120"/>
        <w:ind w:left="-15" w:firstLine="0"/>
        <w:rPr>
          <w:b/>
          <w:color w:val="FF66CC"/>
          <w:sz w:val="22"/>
        </w:rPr>
      </w:pPr>
      <w:r w:rsidRPr="008C54B7">
        <w:rPr>
          <w:bCs/>
          <w:color w:val="auto"/>
          <w:sz w:val="22"/>
        </w:rPr>
        <w:t>To Whom It May Concern:</w:t>
      </w:r>
    </w:p>
    <w:p w14:paraId="0F292EF0" w14:textId="6B1AC0E8" w:rsidR="00E304C6" w:rsidRPr="008C54B7" w:rsidRDefault="00E304C6" w:rsidP="00C11675">
      <w:pPr>
        <w:spacing w:after="120"/>
        <w:ind w:left="-15" w:firstLine="0"/>
        <w:rPr>
          <w:rFonts w:eastAsia="Times New Roman"/>
          <w:color w:val="auto"/>
          <w:kern w:val="0"/>
          <w:sz w:val="22"/>
          <w14:ligatures w14:val="none"/>
        </w:rPr>
      </w:pPr>
      <w:r w:rsidRPr="008C54B7">
        <w:rPr>
          <w:bCs/>
          <w:color w:val="auto"/>
          <w:sz w:val="22"/>
        </w:rPr>
        <w:t xml:space="preserve">I </w:t>
      </w:r>
      <w:r w:rsidR="000659B3" w:rsidRPr="008C54B7">
        <w:rPr>
          <w:bCs/>
          <w:color w:val="auto"/>
          <w:sz w:val="22"/>
        </w:rPr>
        <w:t xml:space="preserve">am writing on behalf of my </w:t>
      </w:r>
      <w:r w:rsidR="00853069" w:rsidRPr="008C54B7">
        <w:rPr>
          <w:bCs/>
          <w:color w:val="auto"/>
          <w:sz w:val="22"/>
        </w:rPr>
        <w:t xml:space="preserve">patient </w:t>
      </w:r>
      <w:r w:rsidR="00D85138" w:rsidRPr="008C54B7">
        <w:rPr>
          <w:bCs/>
          <w:color w:val="000000" w:themeColor="text1"/>
          <w:sz w:val="22"/>
        </w:rPr>
        <w:t>&lt;</w:t>
      </w:r>
      <w:r w:rsidR="00D85138" w:rsidRPr="008C54B7">
        <w:rPr>
          <w:bCs/>
          <w:color w:val="2F5496" w:themeColor="accent1" w:themeShade="BF"/>
          <w:sz w:val="22"/>
        </w:rPr>
        <w:t>Insert Patient Name</w:t>
      </w:r>
      <w:r w:rsidR="00D85138" w:rsidRPr="008C54B7">
        <w:rPr>
          <w:bCs/>
          <w:color w:val="000000" w:themeColor="text1"/>
          <w:sz w:val="22"/>
        </w:rPr>
        <w:t>&gt;</w:t>
      </w:r>
      <w:r w:rsidR="00853069" w:rsidRPr="008C54B7">
        <w:rPr>
          <w:b/>
          <w:color w:val="FF66CC"/>
          <w:sz w:val="22"/>
        </w:rPr>
        <w:t xml:space="preserve"> </w:t>
      </w:r>
      <w:r w:rsidR="00853069" w:rsidRPr="008C54B7">
        <w:rPr>
          <w:bCs/>
          <w:color w:val="auto"/>
          <w:sz w:val="22"/>
        </w:rPr>
        <w:t xml:space="preserve">to provide </w:t>
      </w:r>
      <w:r w:rsidR="00B668AF" w:rsidRPr="008C54B7">
        <w:rPr>
          <w:bCs/>
          <w:color w:val="auto"/>
          <w:sz w:val="22"/>
        </w:rPr>
        <w:t xml:space="preserve">additional </w:t>
      </w:r>
      <w:r w:rsidR="00853069" w:rsidRPr="008C54B7">
        <w:rPr>
          <w:bCs/>
          <w:color w:val="auto"/>
          <w:sz w:val="22"/>
        </w:rPr>
        <w:t xml:space="preserve">information supporting medical </w:t>
      </w:r>
      <w:r w:rsidR="00A64E94" w:rsidRPr="008C54B7">
        <w:rPr>
          <w:bCs/>
          <w:color w:val="auto"/>
          <w:sz w:val="22"/>
        </w:rPr>
        <w:t xml:space="preserve">necessity for treatment with </w:t>
      </w:r>
      <w:proofErr w:type="spellStart"/>
      <w:r w:rsidR="00AF0FE2" w:rsidRPr="008C54B7">
        <w:rPr>
          <w:b/>
          <w:bCs/>
          <w:sz w:val="22"/>
        </w:rPr>
        <w:t>Xifaxan</w:t>
      </w:r>
      <w:proofErr w:type="spellEnd"/>
      <w:r w:rsidR="00AF0FE2" w:rsidRPr="008C54B7">
        <w:rPr>
          <w:b/>
          <w:bCs/>
          <w:sz w:val="22"/>
        </w:rPr>
        <w:t xml:space="preserve"> (rifaximin) 550mg tablets</w:t>
      </w:r>
      <w:r w:rsidR="00AF0FE2" w:rsidRPr="008C54B7">
        <w:rPr>
          <w:rFonts w:eastAsia="Times New Roman"/>
          <w:b/>
          <w:bCs/>
          <w:color w:val="auto"/>
          <w:kern w:val="0"/>
          <w:sz w:val="22"/>
          <w14:ligatures w14:val="none"/>
        </w:rPr>
        <w:t>.</w:t>
      </w:r>
      <w:r w:rsidR="00AF0FE2" w:rsidRPr="008C54B7">
        <w:rPr>
          <w:rFonts w:eastAsia="Times New Roman"/>
          <w:color w:val="auto"/>
          <w:kern w:val="0"/>
          <w:sz w:val="22"/>
          <w14:ligatures w14:val="none"/>
        </w:rPr>
        <w:t xml:space="preserve"> </w:t>
      </w:r>
      <w:r w:rsidR="00B668AF" w:rsidRPr="008C54B7">
        <w:rPr>
          <w:rFonts w:eastAsia="Times New Roman"/>
          <w:color w:val="auto"/>
          <w:kern w:val="0"/>
          <w:sz w:val="22"/>
          <w14:ligatures w14:val="none"/>
        </w:rPr>
        <w:t>Within this letter I am providing my patient</w:t>
      </w:r>
      <w:r w:rsidR="000E6543" w:rsidRPr="008C54B7">
        <w:rPr>
          <w:rFonts w:eastAsia="Times New Roman"/>
          <w:color w:val="auto"/>
          <w:kern w:val="0"/>
          <w:sz w:val="22"/>
          <w14:ligatures w14:val="none"/>
        </w:rPr>
        <w:t xml:space="preserve">’s </w:t>
      </w:r>
      <w:r w:rsidRPr="008C54B7">
        <w:rPr>
          <w:rFonts w:eastAsia="Times New Roman"/>
          <w:color w:val="auto"/>
          <w:kern w:val="0"/>
          <w:sz w:val="22"/>
          <w14:ligatures w14:val="none"/>
        </w:rPr>
        <w:t>medical history</w:t>
      </w:r>
      <w:r w:rsidR="000E6543" w:rsidRPr="008C54B7">
        <w:rPr>
          <w:rFonts w:eastAsia="Times New Roman"/>
          <w:color w:val="auto"/>
          <w:kern w:val="0"/>
          <w:sz w:val="22"/>
          <w14:ligatures w14:val="none"/>
        </w:rPr>
        <w:t>, diagnosis</w:t>
      </w:r>
      <w:r w:rsidR="000E24BA" w:rsidRPr="008C54B7">
        <w:rPr>
          <w:rFonts w:eastAsia="Times New Roman"/>
          <w:color w:val="auto"/>
          <w:kern w:val="0"/>
          <w:sz w:val="22"/>
          <w14:ligatures w14:val="none"/>
        </w:rPr>
        <w:t>, a description of their previous drug treatment</w:t>
      </w:r>
      <w:r w:rsidR="003B3276">
        <w:rPr>
          <w:rFonts w:eastAsia="Times New Roman"/>
          <w:color w:val="auto"/>
          <w:kern w:val="0"/>
          <w:sz w:val="22"/>
          <w14:ligatures w14:val="none"/>
        </w:rPr>
        <w:t>,</w:t>
      </w:r>
      <w:r w:rsidR="000E24BA" w:rsidRPr="008C54B7">
        <w:rPr>
          <w:rFonts w:eastAsia="Times New Roman"/>
          <w:color w:val="auto"/>
          <w:kern w:val="0"/>
          <w:sz w:val="22"/>
          <w14:ligatures w14:val="none"/>
        </w:rPr>
        <w:t xml:space="preserve"> </w:t>
      </w:r>
      <w:r w:rsidR="000E6543" w:rsidRPr="008C54B7">
        <w:rPr>
          <w:rFonts w:eastAsia="Times New Roman"/>
          <w:color w:val="auto"/>
          <w:kern w:val="0"/>
          <w:sz w:val="22"/>
          <w14:ligatures w14:val="none"/>
        </w:rPr>
        <w:t xml:space="preserve">and a summary of their </w:t>
      </w:r>
      <w:r w:rsidR="000E24BA" w:rsidRPr="008C54B7">
        <w:rPr>
          <w:rFonts w:eastAsia="Times New Roman"/>
          <w:color w:val="auto"/>
          <w:kern w:val="0"/>
          <w:sz w:val="22"/>
          <w14:ligatures w14:val="none"/>
        </w:rPr>
        <w:t xml:space="preserve">proposed </w:t>
      </w:r>
      <w:r w:rsidR="000E6543" w:rsidRPr="008C54B7">
        <w:rPr>
          <w:rFonts w:eastAsia="Times New Roman"/>
          <w:color w:val="auto"/>
          <w:kern w:val="0"/>
          <w:sz w:val="22"/>
          <w14:ligatures w14:val="none"/>
        </w:rPr>
        <w:t>treatment plan</w:t>
      </w:r>
      <w:r w:rsidR="009A6CEB" w:rsidRPr="008C54B7">
        <w:rPr>
          <w:rFonts w:eastAsia="Times New Roman"/>
          <w:color w:val="auto"/>
          <w:kern w:val="0"/>
          <w:sz w:val="22"/>
          <w14:ligatures w14:val="none"/>
        </w:rPr>
        <w:t xml:space="preserve">. </w:t>
      </w:r>
      <w:r w:rsidR="00483E28" w:rsidRPr="008C54B7">
        <w:rPr>
          <w:rFonts w:eastAsia="Times New Roman"/>
          <w:color w:val="auto"/>
          <w:kern w:val="0"/>
          <w:sz w:val="22"/>
          <w14:ligatures w14:val="none"/>
        </w:rPr>
        <w:t>I have also provided m</w:t>
      </w:r>
      <w:r w:rsidR="003B3276">
        <w:rPr>
          <w:rFonts w:eastAsia="Times New Roman"/>
          <w:color w:val="auto"/>
          <w:kern w:val="0"/>
          <w:sz w:val="22"/>
          <w14:ligatures w14:val="none"/>
        </w:rPr>
        <w:t>y</w:t>
      </w:r>
      <w:r w:rsidR="00483E28" w:rsidRPr="008C54B7">
        <w:rPr>
          <w:rFonts w:eastAsia="Times New Roman"/>
          <w:color w:val="auto"/>
          <w:kern w:val="0"/>
          <w:sz w:val="22"/>
          <w14:ligatures w14:val="none"/>
        </w:rPr>
        <w:t xml:space="preserve"> clinically based rationale supporting the medical necessity</w:t>
      </w:r>
      <w:r w:rsidR="00CD01EF" w:rsidRPr="008C54B7">
        <w:rPr>
          <w:rFonts w:eastAsia="Times New Roman"/>
          <w:color w:val="auto"/>
          <w:kern w:val="0"/>
          <w:sz w:val="22"/>
          <w14:ligatures w14:val="none"/>
        </w:rPr>
        <w:t xml:space="preserve"> </w:t>
      </w:r>
      <w:r w:rsidR="00483E28" w:rsidRPr="008C54B7">
        <w:rPr>
          <w:rFonts w:eastAsia="Times New Roman"/>
          <w:color w:val="auto"/>
          <w:kern w:val="0"/>
          <w:sz w:val="22"/>
          <w14:ligatures w14:val="none"/>
        </w:rPr>
        <w:t xml:space="preserve">of </w:t>
      </w:r>
      <w:r w:rsidR="00CD01EF" w:rsidRPr="008C54B7">
        <w:rPr>
          <w:b/>
          <w:bCs/>
          <w:sz w:val="22"/>
        </w:rPr>
        <w:t>Xifaxan (rifaximin) 550mg tablets</w:t>
      </w:r>
      <w:r w:rsidR="00CD01EF" w:rsidRPr="008C54B7">
        <w:rPr>
          <w:rFonts w:eastAsia="Times New Roman"/>
          <w:color w:val="auto"/>
          <w:kern w:val="0"/>
          <w:sz w:val="22"/>
          <w14:ligatures w14:val="none"/>
        </w:rPr>
        <w:t xml:space="preserve"> </w:t>
      </w:r>
      <w:r w:rsidR="00483E28" w:rsidRPr="008C54B7">
        <w:rPr>
          <w:rFonts w:eastAsia="Times New Roman"/>
          <w:color w:val="auto"/>
          <w:kern w:val="0"/>
          <w:sz w:val="22"/>
          <w14:ligatures w14:val="none"/>
        </w:rPr>
        <w:t>for my patient.</w:t>
      </w:r>
    </w:p>
    <w:p w14:paraId="6E624BA0" w14:textId="141A73F8" w:rsidR="001F459F" w:rsidRPr="008C54B7" w:rsidRDefault="007E660F" w:rsidP="00200D96">
      <w:pPr>
        <w:spacing w:after="120"/>
        <w:ind w:left="-5" w:right="150"/>
        <w:rPr>
          <w:sz w:val="22"/>
        </w:rPr>
      </w:pPr>
      <w:r w:rsidRPr="008C54B7">
        <w:rPr>
          <w:b/>
          <w:sz w:val="22"/>
        </w:rPr>
        <w:t>Patient</w:t>
      </w:r>
      <w:r w:rsidR="006E37C4" w:rsidRPr="008C54B7">
        <w:rPr>
          <w:b/>
          <w:sz w:val="22"/>
        </w:rPr>
        <w:t xml:space="preserve"> Information</w:t>
      </w:r>
      <w:r w:rsidR="00804A99" w:rsidRPr="008C54B7">
        <w:rPr>
          <w:b/>
          <w:sz w:val="22"/>
        </w:rPr>
        <w:t>:</w:t>
      </w:r>
      <w:r w:rsidR="006E37C4" w:rsidRPr="008C54B7">
        <w:rPr>
          <w:sz w:val="22"/>
        </w:rPr>
        <w:t xml:space="preserve"> </w:t>
      </w:r>
    </w:p>
    <w:tbl>
      <w:tblPr>
        <w:tblStyle w:val="TableGrid"/>
        <w:tblW w:w="10890" w:type="dxa"/>
        <w:tblInd w:w="-95" w:type="dxa"/>
        <w:tblCellMar>
          <w:left w:w="108" w:type="dxa"/>
          <w:right w:w="115" w:type="dxa"/>
        </w:tblCellMar>
        <w:tblLook w:val="04A0" w:firstRow="1" w:lastRow="0" w:firstColumn="1" w:lastColumn="0" w:noHBand="0" w:noVBand="1"/>
      </w:tblPr>
      <w:tblGrid>
        <w:gridCol w:w="4428"/>
        <w:gridCol w:w="2585"/>
        <w:gridCol w:w="3877"/>
      </w:tblGrid>
      <w:tr w:rsidR="003A12EB" w:rsidRPr="008C54B7" w14:paraId="03F145C9" w14:textId="77777777" w:rsidTr="00C11675">
        <w:trPr>
          <w:trHeight w:val="564"/>
        </w:trPr>
        <w:tc>
          <w:tcPr>
            <w:tcW w:w="7013" w:type="dxa"/>
            <w:gridSpan w:val="2"/>
            <w:tcBorders>
              <w:top w:val="single" w:sz="4" w:space="0" w:color="000000"/>
              <w:left w:val="single" w:sz="4" w:space="0" w:color="000000"/>
              <w:bottom w:val="single" w:sz="4" w:space="0" w:color="000000"/>
              <w:right w:val="single" w:sz="4" w:space="0" w:color="000000"/>
            </w:tcBorders>
          </w:tcPr>
          <w:p w14:paraId="23D1AF8E" w14:textId="7313B654" w:rsidR="003A12EB" w:rsidRPr="008C54B7" w:rsidRDefault="007E660F" w:rsidP="00C11675">
            <w:pPr>
              <w:spacing w:after="120" w:line="259" w:lineRule="auto"/>
              <w:ind w:left="0" w:firstLine="0"/>
              <w:rPr>
                <w:sz w:val="22"/>
              </w:rPr>
            </w:pPr>
            <w:r w:rsidRPr="008C54B7">
              <w:rPr>
                <w:sz w:val="22"/>
              </w:rPr>
              <w:t>Patient</w:t>
            </w:r>
            <w:r w:rsidR="003A12EB" w:rsidRPr="008C54B7">
              <w:rPr>
                <w:sz w:val="22"/>
              </w:rPr>
              <w:t xml:space="preserve">’s Name </w:t>
            </w:r>
          </w:p>
        </w:tc>
        <w:tc>
          <w:tcPr>
            <w:tcW w:w="3877" w:type="dxa"/>
            <w:tcBorders>
              <w:top w:val="single" w:sz="4" w:space="0" w:color="000000"/>
              <w:left w:val="single" w:sz="4" w:space="0" w:color="000000"/>
              <w:bottom w:val="single" w:sz="4" w:space="0" w:color="000000"/>
              <w:right w:val="single" w:sz="4" w:space="0" w:color="000000"/>
            </w:tcBorders>
          </w:tcPr>
          <w:p w14:paraId="3E48A511" w14:textId="77777777" w:rsidR="003A12EB" w:rsidRPr="008C54B7" w:rsidRDefault="003A12EB" w:rsidP="00C11675">
            <w:pPr>
              <w:spacing w:after="120" w:line="259" w:lineRule="auto"/>
              <w:ind w:left="0" w:firstLine="0"/>
              <w:rPr>
                <w:sz w:val="22"/>
              </w:rPr>
            </w:pPr>
            <w:r w:rsidRPr="008C54B7">
              <w:rPr>
                <w:sz w:val="22"/>
              </w:rPr>
              <w:t xml:space="preserve">Date of Birth </w:t>
            </w:r>
          </w:p>
        </w:tc>
      </w:tr>
      <w:tr w:rsidR="003A12EB" w:rsidRPr="008C54B7" w14:paraId="679B000A" w14:textId="77777777" w:rsidTr="00C11675">
        <w:trPr>
          <w:trHeight w:val="562"/>
        </w:trPr>
        <w:tc>
          <w:tcPr>
            <w:tcW w:w="10890" w:type="dxa"/>
            <w:gridSpan w:val="3"/>
            <w:tcBorders>
              <w:top w:val="single" w:sz="4" w:space="0" w:color="000000"/>
              <w:left w:val="single" w:sz="4" w:space="0" w:color="000000"/>
              <w:bottom w:val="single" w:sz="4" w:space="0" w:color="000000"/>
              <w:right w:val="single" w:sz="4" w:space="0" w:color="000000"/>
            </w:tcBorders>
          </w:tcPr>
          <w:p w14:paraId="0848B02A" w14:textId="780328E4" w:rsidR="003A12EB" w:rsidRPr="008C54B7" w:rsidRDefault="007E660F" w:rsidP="00C11675">
            <w:pPr>
              <w:spacing w:after="120" w:line="259" w:lineRule="auto"/>
              <w:ind w:left="0" w:firstLine="0"/>
              <w:rPr>
                <w:sz w:val="22"/>
              </w:rPr>
            </w:pPr>
            <w:r w:rsidRPr="008C54B7">
              <w:rPr>
                <w:sz w:val="22"/>
              </w:rPr>
              <w:t>Patient</w:t>
            </w:r>
            <w:r w:rsidR="003A12EB" w:rsidRPr="008C54B7">
              <w:rPr>
                <w:sz w:val="22"/>
              </w:rPr>
              <w:t xml:space="preserve">’s Address </w:t>
            </w:r>
          </w:p>
        </w:tc>
      </w:tr>
      <w:tr w:rsidR="001F459F" w:rsidRPr="008C54B7" w14:paraId="5C81306B" w14:textId="77777777" w:rsidTr="00C11675">
        <w:trPr>
          <w:trHeight w:val="562"/>
        </w:trPr>
        <w:tc>
          <w:tcPr>
            <w:tcW w:w="4428" w:type="dxa"/>
            <w:tcBorders>
              <w:top w:val="single" w:sz="4" w:space="0" w:color="000000"/>
              <w:left w:val="single" w:sz="4" w:space="0" w:color="000000"/>
              <w:bottom w:val="single" w:sz="4" w:space="0" w:color="000000"/>
              <w:right w:val="single" w:sz="4" w:space="0" w:color="000000"/>
            </w:tcBorders>
          </w:tcPr>
          <w:p w14:paraId="405D7618" w14:textId="77777777" w:rsidR="001F459F" w:rsidRPr="008C54B7" w:rsidRDefault="006E37C4" w:rsidP="00C11675">
            <w:pPr>
              <w:spacing w:after="120" w:line="259" w:lineRule="auto"/>
              <w:ind w:left="0" w:firstLine="0"/>
              <w:rPr>
                <w:sz w:val="22"/>
              </w:rPr>
            </w:pPr>
            <w:r w:rsidRPr="008C54B7">
              <w:rPr>
                <w:sz w:val="22"/>
              </w:rPr>
              <w:t xml:space="preserve">City </w:t>
            </w:r>
          </w:p>
        </w:tc>
        <w:tc>
          <w:tcPr>
            <w:tcW w:w="2585" w:type="dxa"/>
            <w:tcBorders>
              <w:top w:val="single" w:sz="4" w:space="0" w:color="000000"/>
              <w:left w:val="single" w:sz="4" w:space="0" w:color="000000"/>
              <w:bottom w:val="single" w:sz="4" w:space="0" w:color="000000"/>
              <w:right w:val="single" w:sz="4" w:space="0" w:color="000000"/>
            </w:tcBorders>
          </w:tcPr>
          <w:p w14:paraId="5C88573A" w14:textId="77777777" w:rsidR="001F459F" w:rsidRPr="008C54B7" w:rsidRDefault="006E37C4" w:rsidP="00C11675">
            <w:pPr>
              <w:spacing w:after="120" w:line="259" w:lineRule="auto"/>
              <w:ind w:left="0" w:firstLine="0"/>
              <w:rPr>
                <w:sz w:val="22"/>
              </w:rPr>
            </w:pPr>
            <w:r w:rsidRPr="008C54B7">
              <w:rPr>
                <w:sz w:val="22"/>
              </w:rPr>
              <w:t xml:space="preserve">State </w:t>
            </w:r>
          </w:p>
        </w:tc>
        <w:tc>
          <w:tcPr>
            <w:tcW w:w="3877" w:type="dxa"/>
            <w:tcBorders>
              <w:top w:val="single" w:sz="4" w:space="0" w:color="000000"/>
              <w:left w:val="single" w:sz="4" w:space="0" w:color="000000"/>
              <w:bottom w:val="single" w:sz="4" w:space="0" w:color="000000"/>
              <w:right w:val="single" w:sz="4" w:space="0" w:color="000000"/>
            </w:tcBorders>
          </w:tcPr>
          <w:p w14:paraId="7587241C" w14:textId="77777777" w:rsidR="001F459F" w:rsidRPr="008C54B7" w:rsidRDefault="006E37C4" w:rsidP="00C11675">
            <w:pPr>
              <w:spacing w:after="120" w:line="259" w:lineRule="auto"/>
              <w:ind w:left="0" w:firstLine="0"/>
              <w:rPr>
                <w:sz w:val="22"/>
              </w:rPr>
            </w:pPr>
            <w:r w:rsidRPr="008C54B7">
              <w:rPr>
                <w:sz w:val="22"/>
              </w:rPr>
              <w:t xml:space="preserve">Zip Code </w:t>
            </w:r>
          </w:p>
        </w:tc>
      </w:tr>
      <w:tr w:rsidR="001F459F" w:rsidRPr="008C54B7" w14:paraId="3B03A3D9" w14:textId="77777777" w:rsidTr="00C11675">
        <w:trPr>
          <w:trHeight w:val="562"/>
        </w:trPr>
        <w:tc>
          <w:tcPr>
            <w:tcW w:w="4428" w:type="dxa"/>
            <w:tcBorders>
              <w:top w:val="single" w:sz="4" w:space="0" w:color="000000"/>
              <w:left w:val="single" w:sz="4" w:space="0" w:color="000000"/>
              <w:bottom w:val="single" w:sz="4" w:space="0" w:color="000000"/>
              <w:right w:val="single" w:sz="4" w:space="0" w:color="000000"/>
            </w:tcBorders>
          </w:tcPr>
          <w:p w14:paraId="632B6896" w14:textId="44896F2C" w:rsidR="001F459F" w:rsidRPr="008C54B7" w:rsidRDefault="007E660F" w:rsidP="00C11675">
            <w:pPr>
              <w:spacing w:after="120" w:line="259" w:lineRule="auto"/>
              <w:ind w:left="0" w:firstLine="0"/>
              <w:rPr>
                <w:sz w:val="22"/>
              </w:rPr>
            </w:pPr>
            <w:r w:rsidRPr="008C54B7">
              <w:rPr>
                <w:sz w:val="22"/>
              </w:rPr>
              <w:t xml:space="preserve">Member ID #  </w:t>
            </w:r>
          </w:p>
        </w:tc>
        <w:tc>
          <w:tcPr>
            <w:tcW w:w="6462" w:type="dxa"/>
            <w:gridSpan w:val="2"/>
            <w:tcBorders>
              <w:top w:val="single" w:sz="4" w:space="0" w:color="000000"/>
              <w:left w:val="single" w:sz="4" w:space="0" w:color="000000"/>
              <w:bottom w:val="single" w:sz="4" w:space="0" w:color="000000"/>
              <w:right w:val="single" w:sz="4" w:space="0" w:color="000000"/>
            </w:tcBorders>
          </w:tcPr>
          <w:p w14:paraId="13583C07" w14:textId="379950D1" w:rsidR="001F459F" w:rsidRPr="008C54B7" w:rsidRDefault="007E660F" w:rsidP="00C11675">
            <w:pPr>
              <w:spacing w:after="120" w:line="259" w:lineRule="auto"/>
              <w:ind w:left="0" w:firstLine="0"/>
              <w:rPr>
                <w:sz w:val="22"/>
              </w:rPr>
            </w:pPr>
            <w:r w:rsidRPr="008C54B7">
              <w:rPr>
                <w:sz w:val="22"/>
              </w:rPr>
              <w:t>Policy or Group</w:t>
            </w:r>
            <w:r w:rsidR="006E37C4" w:rsidRPr="008C54B7">
              <w:rPr>
                <w:sz w:val="22"/>
              </w:rPr>
              <w:t xml:space="preserve"> #  </w:t>
            </w:r>
          </w:p>
        </w:tc>
      </w:tr>
    </w:tbl>
    <w:p w14:paraId="1B6A154B" w14:textId="1727B32C" w:rsidR="001F459F" w:rsidRPr="008C54B7" w:rsidRDefault="003454DF" w:rsidP="008B4D43">
      <w:pPr>
        <w:spacing w:after="120"/>
        <w:ind w:left="0" w:right="108" w:firstLine="0"/>
        <w:jc w:val="both"/>
        <w:rPr>
          <w:sz w:val="22"/>
        </w:rPr>
      </w:pPr>
      <w:r w:rsidRPr="008C54B7">
        <w:rPr>
          <w:rFonts w:ascii="Segoe UI Symbol" w:eastAsia="Times New Roman" w:hAnsi="Segoe UI Symbol" w:cs="Segoe UI Symbol"/>
          <w:sz w:val="22"/>
          <w:highlight w:val="yellow"/>
        </w:rPr>
        <w:t>☐</w:t>
      </w:r>
      <w:r w:rsidRPr="008C54B7">
        <w:rPr>
          <w:rFonts w:eastAsia="Times New Roman"/>
          <w:sz w:val="22"/>
        </w:rPr>
        <w:t xml:space="preserve"> </w:t>
      </w:r>
      <w:r w:rsidRPr="008C54B7">
        <w:rPr>
          <w:sz w:val="22"/>
        </w:rPr>
        <w:t>I need approval for a drug that requ</w:t>
      </w:r>
      <w:r w:rsidR="00853D08" w:rsidRPr="008C54B7">
        <w:rPr>
          <w:sz w:val="22"/>
        </w:rPr>
        <w:t>ires a prior authorization prior to treatment</w:t>
      </w:r>
      <w:r w:rsidRPr="008C54B7">
        <w:rPr>
          <w:sz w:val="22"/>
        </w:rPr>
        <w:t xml:space="preserve"> </w:t>
      </w:r>
    </w:p>
    <w:tbl>
      <w:tblPr>
        <w:tblStyle w:val="TableGrid"/>
        <w:tblW w:w="10890" w:type="dxa"/>
        <w:tblInd w:w="-99" w:type="dxa"/>
        <w:tblCellMar>
          <w:right w:w="42" w:type="dxa"/>
        </w:tblCellMar>
        <w:tblLook w:val="04A0" w:firstRow="1" w:lastRow="0" w:firstColumn="1" w:lastColumn="0" w:noHBand="0" w:noVBand="1"/>
      </w:tblPr>
      <w:tblGrid>
        <w:gridCol w:w="3776"/>
        <w:gridCol w:w="1264"/>
        <w:gridCol w:w="1362"/>
        <w:gridCol w:w="4488"/>
      </w:tblGrid>
      <w:tr w:rsidR="0020684D" w:rsidRPr="008C54B7" w14:paraId="0AC395F7" w14:textId="77777777" w:rsidTr="008E1E50">
        <w:trPr>
          <w:trHeight w:val="719"/>
        </w:trPr>
        <w:tc>
          <w:tcPr>
            <w:tcW w:w="10890" w:type="dxa"/>
            <w:gridSpan w:val="4"/>
            <w:tcBorders>
              <w:top w:val="single" w:sz="6" w:space="0" w:color="000000"/>
              <w:left w:val="single" w:sz="7" w:space="0" w:color="000000"/>
              <w:bottom w:val="single" w:sz="4" w:space="0" w:color="000000"/>
              <w:right w:val="single" w:sz="4" w:space="0" w:color="000000"/>
            </w:tcBorders>
          </w:tcPr>
          <w:p w14:paraId="0EFFEA4D" w14:textId="77777777" w:rsidR="0020684D" w:rsidRPr="008C54B7" w:rsidRDefault="0020684D" w:rsidP="00D07717">
            <w:pPr>
              <w:spacing w:after="120" w:line="259" w:lineRule="auto"/>
              <w:ind w:left="108" w:firstLine="0"/>
              <w:rPr>
                <w:b/>
                <w:bCs/>
                <w:sz w:val="22"/>
              </w:rPr>
            </w:pPr>
            <w:r w:rsidRPr="008C54B7">
              <w:rPr>
                <w:b/>
                <w:bCs/>
                <w:sz w:val="22"/>
              </w:rPr>
              <w:t xml:space="preserve">Medication: </w:t>
            </w:r>
          </w:p>
          <w:p w14:paraId="5A7F7B5E" w14:textId="4DD93912" w:rsidR="0020684D" w:rsidRPr="008C54B7" w:rsidRDefault="00CD01EF" w:rsidP="003B523F">
            <w:pPr>
              <w:spacing w:after="120" w:line="259" w:lineRule="auto"/>
              <w:ind w:left="108" w:firstLine="0"/>
              <w:rPr>
                <w:sz w:val="22"/>
              </w:rPr>
            </w:pPr>
            <w:r w:rsidRPr="008C54B7">
              <w:rPr>
                <w:b/>
                <w:bCs/>
                <w:sz w:val="22"/>
              </w:rPr>
              <w:t>Xifaxan (rifaximin) 550mg tablets</w:t>
            </w:r>
            <w:r w:rsidR="0020684D" w:rsidRPr="008C54B7">
              <w:rPr>
                <w:sz w:val="22"/>
              </w:rPr>
              <w:t xml:space="preserve">:  </w:t>
            </w:r>
          </w:p>
          <w:p w14:paraId="2DB613A4" w14:textId="2918C796" w:rsidR="00B31B5B" w:rsidRPr="008C54B7" w:rsidRDefault="00B31B5B" w:rsidP="00D07717">
            <w:pPr>
              <w:spacing w:after="120" w:line="259" w:lineRule="auto"/>
              <w:ind w:left="108" w:firstLine="0"/>
              <w:rPr>
                <w:rFonts w:eastAsia="Segoe UI Symbol"/>
                <w:sz w:val="22"/>
              </w:rPr>
            </w:pPr>
            <w:r w:rsidRPr="008C54B7">
              <w:rPr>
                <w:rFonts w:ascii="Segoe UI Symbol" w:eastAsia="Segoe UI Symbol" w:hAnsi="Segoe UI Symbol" w:cs="Segoe UI Symbol"/>
                <w:sz w:val="22"/>
              </w:rPr>
              <w:t>☐</w:t>
            </w:r>
            <w:r w:rsidRPr="008C54B7">
              <w:rPr>
                <w:rFonts w:eastAsia="Segoe UI Symbol"/>
                <w:sz w:val="22"/>
              </w:rPr>
              <w:t xml:space="preserve"> Overt Hepatic Encephalopathy </w:t>
            </w:r>
            <w:r w:rsidRPr="008C54B7">
              <w:rPr>
                <w:rFonts w:eastAsia="Segoe UI Symbol"/>
                <w:b/>
                <w:bCs/>
                <w:sz w:val="22"/>
              </w:rPr>
              <w:t>(OHE)</w:t>
            </w:r>
            <w:r w:rsidR="006B7E1B" w:rsidRPr="008C54B7">
              <w:rPr>
                <w:rFonts w:eastAsia="Segoe UI Symbol"/>
                <w:b/>
                <w:bCs/>
                <w:sz w:val="22"/>
              </w:rPr>
              <w:t xml:space="preserve"> </w:t>
            </w:r>
            <w:r w:rsidR="006B7E1B" w:rsidRPr="008C54B7">
              <w:rPr>
                <w:rFonts w:eastAsia="Segoe UI Symbol"/>
                <w:sz w:val="22"/>
              </w:rPr>
              <w:t xml:space="preserve">for </w:t>
            </w:r>
            <w:r w:rsidR="0063326D" w:rsidRPr="0063326D">
              <w:rPr>
                <w:rFonts w:eastAsia="Segoe UI Symbol"/>
                <w:sz w:val="22"/>
              </w:rPr>
              <w:t>reduction in the risk of recurrence:</w:t>
            </w:r>
            <w:r w:rsidRPr="008C54B7">
              <w:rPr>
                <w:rFonts w:eastAsia="Segoe UI Symbol"/>
                <w:sz w:val="22"/>
              </w:rPr>
              <w:t xml:space="preserve"> </w:t>
            </w:r>
            <w:r w:rsidRPr="008C54B7">
              <w:rPr>
                <w:sz w:val="22"/>
              </w:rPr>
              <w:t>One 550-mg tablet twice daily</w:t>
            </w:r>
            <w:r w:rsidR="00B77E01" w:rsidRPr="008C54B7">
              <w:rPr>
                <w:sz w:val="22"/>
              </w:rPr>
              <w:t xml:space="preserve"> </w:t>
            </w:r>
            <w:r w:rsidRPr="008C54B7">
              <w:rPr>
                <w:sz w:val="22"/>
              </w:rPr>
              <w:t>#60 tablets</w:t>
            </w:r>
            <w:r w:rsidR="0063326D">
              <w:rPr>
                <w:sz w:val="22"/>
              </w:rPr>
              <w:t xml:space="preserve"> for</w:t>
            </w:r>
            <w:r w:rsidRPr="008C54B7">
              <w:rPr>
                <w:sz w:val="22"/>
              </w:rPr>
              <w:t xml:space="preserve"> 30 days</w:t>
            </w:r>
          </w:p>
          <w:p w14:paraId="67ACB158" w14:textId="3A1AB59D" w:rsidR="0020684D" w:rsidRPr="008C54B7" w:rsidRDefault="0020684D" w:rsidP="00D07717">
            <w:pPr>
              <w:spacing w:after="120" w:line="259" w:lineRule="auto"/>
              <w:ind w:left="108" w:firstLine="0"/>
              <w:rPr>
                <w:sz w:val="22"/>
              </w:rPr>
            </w:pPr>
            <w:r w:rsidRPr="008C54B7">
              <w:rPr>
                <w:rFonts w:ascii="Segoe UI Symbol" w:eastAsia="Segoe UI Symbol" w:hAnsi="Segoe UI Symbol" w:cs="Segoe UI Symbol"/>
                <w:sz w:val="22"/>
              </w:rPr>
              <w:t>☐</w:t>
            </w:r>
            <w:r w:rsidRPr="008C54B7">
              <w:rPr>
                <w:rFonts w:eastAsia="Segoe UI Symbol"/>
                <w:sz w:val="22"/>
              </w:rPr>
              <w:t xml:space="preserve"> </w:t>
            </w:r>
            <w:proofErr w:type="gramStart"/>
            <w:r w:rsidR="005F03ED" w:rsidRPr="008C54B7">
              <w:rPr>
                <w:sz w:val="22"/>
              </w:rPr>
              <w:t>Irritable Bowel Syndrome</w:t>
            </w:r>
            <w:proofErr w:type="gramEnd"/>
            <w:r w:rsidR="005F03ED" w:rsidRPr="008C54B7">
              <w:rPr>
                <w:sz w:val="22"/>
              </w:rPr>
              <w:t xml:space="preserve"> with Diarrhea </w:t>
            </w:r>
            <w:r w:rsidR="005F03ED" w:rsidRPr="008C54B7">
              <w:rPr>
                <w:b/>
                <w:bCs/>
                <w:sz w:val="22"/>
              </w:rPr>
              <w:t>(IBS-D)</w:t>
            </w:r>
            <w:r w:rsidR="00305BD1" w:rsidRPr="008C54B7">
              <w:rPr>
                <w:sz w:val="22"/>
              </w:rPr>
              <w:t xml:space="preserve"> in adults</w:t>
            </w:r>
            <w:r w:rsidR="005F03ED" w:rsidRPr="008C54B7">
              <w:rPr>
                <w:sz w:val="22"/>
              </w:rPr>
              <w:t xml:space="preserve">: </w:t>
            </w:r>
            <w:r w:rsidR="003B523F" w:rsidRPr="008C54B7">
              <w:rPr>
                <w:sz w:val="22"/>
              </w:rPr>
              <w:t>One 550-mg tablet 3 times daily, for 14 days</w:t>
            </w:r>
            <w:r w:rsidRPr="008C54B7">
              <w:rPr>
                <w:sz w:val="22"/>
              </w:rPr>
              <w:t xml:space="preserve"> </w:t>
            </w:r>
            <w:r w:rsidR="00BA6A1A" w:rsidRPr="008C54B7">
              <w:rPr>
                <w:sz w:val="22"/>
              </w:rPr>
              <w:t>#42 tablets</w:t>
            </w:r>
          </w:p>
          <w:p w14:paraId="0CB805CF" w14:textId="2B1E32F9" w:rsidR="0020684D" w:rsidRPr="008C54B7" w:rsidRDefault="0020684D" w:rsidP="00D07717">
            <w:pPr>
              <w:spacing w:after="120" w:line="259" w:lineRule="auto"/>
              <w:ind w:left="100" w:firstLine="0"/>
              <w:rPr>
                <w:sz w:val="22"/>
              </w:rPr>
            </w:pPr>
          </w:p>
        </w:tc>
      </w:tr>
      <w:tr w:rsidR="006A0AFD" w:rsidRPr="008C54B7" w14:paraId="19864874" w14:textId="77777777" w:rsidTr="008E1E50">
        <w:trPr>
          <w:trHeight w:val="814"/>
        </w:trPr>
        <w:tc>
          <w:tcPr>
            <w:tcW w:w="5040" w:type="dxa"/>
            <w:gridSpan w:val="2"/>
            <w:tcBorders>
              <w:top w:val="single" w:sz="4" w:space="0" w:color="000000"/>
              <w:left w:val="single" w:sz="7" w:space="0" w:color="000000"/>
              <w:bottom w:val="single" w:sz="4" w:space="0" w:color="000000"/>
              <w:right w:val="single" w:sz="4" w:space="0" w:color="000000"/>
            </w:tcBorders>
          </w:tcPr>
          <w:p w14:paraId="0C5CEE50" w14:textId="77777777" w:rsidR="006A0AFD" w:rsidRPr="008C54B7" w:rsidRDefault="006A0AFD" w:rsidP="00D07717">
            <w:pPr>
              <w:spacing w:after="120" w:line="259" w:lineRule="auto"/>
              <w:ind w:left="108" w:firstLine="0"/>
              <w:rPr>
                <w:sz w:val="22"/>
              </w:rPr>
            </w:pPr>
            <w:r w:rsidRPr="008C54B7">
              <w:rPr>
                <w:sz w:val="22"/>
              </w:rPr>
              <w:t xml:space="preserve">Date Started: </w:t>
            </w:r>
          </w:p>
          <w:p w14:paraId="642F34C6" w14:textId="0C8660F9" w:rsidR="006A0AFD" w:rsidRPr="008C54B7" w:rsidRDefault="006A0AFD" w:rsidP="0093175A">
            <w:pPr>
              <w:spacing w:after="120" w:line="259" w:lineRule="auto"/>
              <w:rPr>
                <w:sz w:val="22"/>
              </w:rPr>
            </w:pPr>
          </w:p>
        </w:tc>
        <w:tc>
          <w:tcPr>
            <w:tcW w:w="5850" w:type="dxa"/>
            <w:gridSpan w:val="2"/>
            <w:tcBorders>
              <w:top w:val="single" w:sz="4" w:space="0" w:color="000000"/>
              <w:left w:val="single" w:sz="4" w:space="0" w:color="000000"/>
              <w:bottom w:val="single" w:sz="4" w:space="0" w:color="000000"/>
              <w:right w:val="single" w:sz="4" w:space="0" w:color="000000"/>
            </w:tcBorders>
          </w:tcPr>
          <w:p w14:paraId="123B4A35" w14:textId="77777777" w:rsidR="006A0AFD" w:rsidRPr="008C54B7" w:rsidRDefault="006A0AFD" w:rsidP="00D07717">
            <w:pPr>
              <w:spacing w:after="120" w:line="259" w:lineRule="auto"/>
              <w:ind w:left="100" w:firstLine="0"/>
              <w:rPr>
                <w:sz w:val="22"/>
              </w:rPr>
            </w:pPr>
            <w:r w:rsidRPr="008C54B7">
              <w:rPr>
                <w:sz w:val="22"/>
              </w:rPr>
              <w:t xml:space="preserve">Expected Length of Therapy: </w:t>
            </w:r>
          </w:p>
          <w:p w14:paraId="00DE4CC3" w14:textId="11B6B6EB" w:rsidR="00A703F4" w:rsidRPr="008C54B7" w:rsidRDefault="003F0D44" w:rsidP="00D07717">
            <w:pPr>
              <w:spacing w:after="120" w:line="259" w:lineRule="auto"/>
              <w:ind w:left="100" w:firstLine="0"/>
              <w:rPr>
                <w:sz w:val="22"/>
              </w:rPr>
            </w:pPr>
            <w:r w:rsidRPr="008C54B7">
              <w:rPr>
                <w:rFonts w:ascii="Segoe UI Symbol" w:eastAsia="Segoe UI Symbol" w:hAnsi="Segoe UI Symbol" w:cs="Segoe UI Symbol"/>
                <w:sz w:val="22"/>
              </w:rPr>
              <w:t>☐</w:t>
            </w:r>
            <w:r w:rsidRPr="008C54B7">
              <w:rPr>
                <w:rFonts w:eastAsia="Segoe UI Symbol"/>
                <w:sz w:val="22"/>
              </w:rPr>
              <w:t xml:space="preserve"> </w:t>
            </w:r>
            <w:r w:rsidR="00A703F4" w:rsidRPr="008C54B7">
              <w:rPr>
                <w:b/>
                <w:bCs/>
                <w:sz w:val="22"/>
              </w:rPr>
              <w:t>OHE</w:t>
            </w:r>
            <w:r w:rsidR="00A703F4" w:rsidRPr="008C54B7">
              <w:rPr>
                <w:sz w:val="22"/>
              </w:rPr>
              <w:t xml:space="preserve">: </w:t>
            </w:r>
            <w:r w:rsidR="0063326D" w:rsidRPr="0063326D">
              <w:rPr>
                <w:sz w:val="22"/>
              </w:rPr>
              <w:t>___ months/ ____refills</w:t>
            </w:r>
          </w:p>
          <w:p w14:paraId="0208753D" w14:textId="78D6B320" w:rsidR="00A703F4" w:rsidRPr="008C54B7" w:rsidRDefault="003F0D44" w:rsidP="00D07717">
            <w:pPr>
              <w:spacing w:after="120" w:line="259" w:lineRule="auto"/>
              <w:ind w:left="100" w:firstLine="0"/>
              <w:rPr>
                <w:sz w:val="22"/>
              </w:rPr>
            </w:pPr>
            <w:r w:rsidRPr="008C54B7">
              <w:rPr>
                <w:rFonts w:ascii="Segoe UI Symbol" w:eastAsia="Segoe UI Symbol" w:hAnsi="Segoe UI Symbol" w:cs="Segoe UI Symbol"/>
                <w:sz w:val="22"/>
              </w:rPr>
              <w:t>☐</w:t>
            </w:r>
            <w:r w:rsidRPr="008C54B7">
              <w:rPr>
                <w:rFonts w:eastAsia="Segoe UI Symbol"/>
                <w:sz w:val="22"/>
              </w:rPr>
              <w:t xml:space="preserve"> </w:t>
            </w:r>
            <w:r w:rsidR="00A703F4" w:rsidRPr="008C54B7">
              <w:rPr>
                <w:b/>
                <w:bCs/>
                <w:sz w:val="22"/>
              </w:rPr>
              <w:t>IBS-D</w:t>
            </w:r>
            <w:r w:rsidR="00A703F4" w:rsidRPr="008C54B7">
              <w:rPr>
                <w:sz w:val="22"/>
              </w:rPr>
              <w:t xml:space="preserve">: </w:t>
            </w:r>
            <w:r w:rsidR="0063326D" w:rsidRPr="0063326D">
              <w:rPr>
                <w:sz w:val="22"/>
              </w:rPr>
              <w:t>14 days (can be refilled up to 2 times)</w:t>
            </w:r>
          </w:p>
        </w:tc>
      </w:tr>
      <w:tr w:rsidR="006A0AFD" w:rsidRPr="008C54B7" w14:paraId="38741B49" w14:textId="77777777" w:rsidTr="008E1E50">
        <w:trPr>
          <w:trHeight w:val="1309"/>
        </w:trPr>
        <w:tc>
          <w:tcPr>
            <w:tcW w:w="10890" w:type="dxa"/>
            <w:gridSpan w:val="4"/>
            <w:tcBorders>
              <w:top w:val="single" w:sz="4" w:space="0" w:color="000000"/>
              <w:left w:val="single" w:sz="7" w:space="0" w:color="000000"/>
              <w:bottom w:val="single" w:sz="4" w:space="0" w:color="000000"/>
              <w:right w:val="single" w:sz="4" w:space="0" w:color="000000"/>
            </w:tcBorders>
          </w:tcPr>
          <w:p w14:paraId="4F9652D3" w14:textId="5E2D359D" w:rsidR="006A0AFD" w:rsidRPr="008C54B7" w:rsidRDefault="006A0AFD" w:rsidP="00D07717">
            <w:pPr>
              <w:spacing w:after="120" w:line="240" w:lineRule="auto"/>
              <w:ind w:left="108" w:firstLine="0"/>
              <w:rPr>
                <w:b/>
                <w:sz w:val="22"/>
              </w:rPr>
            </w:pPr>
            <w:r w:rsidRPr="008C54B7">
              <w:rPr>
                <w:b/>
                <w:sz w:val="22"/>
              </w:rPr>
              <w:t>D</w:t>
            </w:r>
            <w:r w:rsidR="0093175A" w:rsidRPr="008C54B7">
              <w:rPr>
                <w:b/>
                <w:sz w:val="22"/>
              </w:rPr>
              <w:t>iagnosis</w:t>
            </w:r>
            <w:r w:rsidRPr="008C54B7">
              <w:rPr>
                <w:b/>
                <w:sz w:val="22"/>
              </w:rPr>
              <w:t xml:space="preserve"> – Please list all diagnoses being treated with the requested drug and corresponding ICD-10 codes. </w:t>
            </w:r>
          </w:p>
          <w:p w14:paraId="54F43A79" w14:textId="1C94155C" w:rsidR="006A0AFD" w:rsidRPr="008C54B7" w:rsidRDefault="00816A5E" w:rsidP="008B4D43">
            <w:pPr>
              <w:spacing w:after="120" w:line="259" w:lineRule="auto"/>
              <w:ind w:left="108" w:firstLine="0"/>
              <w:rPr>
                <w:sz w:val="22"/>
              </w:rPr>
            </w:pPr>
            <w:r w:rsidRPr="008C54B7">
              <w:rPr>
                <w:sz w:val="22"/>
              </w:rPr>
              <w:t xml:space="preserve">□ </w:t>
            </w:r>
            <w:r w:rsidRPr="008C54B7">
              <w:rPr>
                <w:b/>
                <w:bCs/>
                <w:sz w:val="22"/>
              </w:rPr>
              <w:t>K76.82</w:t>
            </w:r>
            <w:r w:rsidRPr="008C54B7">
              <w:rPr>
                <w:sz w:val="22"/>
              </w:rPr>
              <w:t xml:space="preserve"> </w:t>
            </w:r>
            <w:r w:rsidRPr="008C54B7">
              <w:rPr>
                <w:b/>
                <w:bCs/>
                <w:sz w:val="22"/>
              </w:rPr>
              <w:t xml:space="preserve">(OHE) </w:t>
            </w:r>
            <w:r w:rsidRPr="008C54B7">
              <w:rPr>
                <w:sz w:val="22"/>
              </w:rPr>
              <w:t>Hepatic Encephalopathy</w:t>
            </w:r>
            <w:r w:rsidRPr="008C54B7">
              <w:rPr>
                <w:b/>
                <w:bCs/>
                <w:sz w:val="22"/>
              </w:rPr>
              <w:t xml:space="preserve">              </w:t>
            </w:r>
            <w:r w:rsidR="006A0AFD" w:rsidRPr="008C54B7">
              <w:rPr>
                <w:sz w:val="22"/>
              </w:rPr>
              <w:t xml:space="preserve">□ </w:t>
            </w:r>
            <w:r w:rsidR="006A0AFD" w:rsidRPr="008C54B7">
              <w:rPr>
                <w:b/>
                <w:bCs/>
                <w:sz w:val="22"/>
              </w:rPr>
              <w:t>K5</w:t>
            </w:r>
            <w:r w:rsidR="004864E0" w:rsidRPr="008C54B7">
              <w:rPr>
                <w:b/>
                <w:bCs/>
                <w:sz w:val="22"/>
              </w:rPr>
              <w:t>8.0</w:t>
            </w:r>
            <w:r w:rsidR="004864E0" w:rsidRPr="008C54B7">
              <w:rPr>
                <w:sz w:val="22"/>
              </w:rPr>
              <w:t xml:space="preserve"> </w:t>
            </w:r>
            <w:r w:rsidR="004864E0" w:rsidRPr="008C54B7">
              <w:rPr>
                <w:b/>
                <w:bCs/>
                <w:sz w:val="22"/>
              </w:rPr>
              <w:t>(IBS-D)</w:t>
            </w:r>
            <w:r w:rsidR="006A0AFD" w:rsidRPr="008C54B7">
              <w:rPr>
                <w:sz w:val="22"/>
              </w:rPr>
              <w:t xml:space="preserve"> </w:t>
            </w:r>
            <w:r w:rsidRPr="008C54B7">
              <w:rPr>
                <w:sz w:val="22"/>
              </w:rPr>
              <w:t>Irritable Bowel Syndrom</w:t>
            </w:r>
            <w:r w:rsidR="0039546A" w:rsidRPr="008C54B7">
              <w:rPr>
                <w:sz w:val="22"/>
              </w:rPr>
              <w:t>e in adults</w:t>
            </w:r>
            <w:r w:rsidR="007F299E" w:rsidRPr="008C54B7">
              <w:rPr>
                <w:sz w:val="22"/>
              </w:rPr>
              <w:t xml:space="preserve">                     </w:t>
            </w:r>
            <w:r w:rsidR="008B4D43" w:rsidRPr="008C54B7">
              <w:rPr>
                <w:sz w:val="22"/>
              </w:rPr>
              <w:t xml:space="preserve">   </w:t>
            </w:r>
            <w:r w:rsidR="006A0AFD" w:rsidRPr="008C54B7">
              <w:rPr>
                <w:sz w:val="22"/>
              </w:rPr>
              <w:t xml:space="preserve"> </w:t>
            </w:r>
            <w:r w:rsidR="008B4D43" w:rsidRPr="008C54B7">
              <w:rPr>
                <w:sz w:val="22"/>
              </w:rPr>
              <w:t xml:space="preserve">  </w:t>
            </w:r>
          </w:p>
        </w:tc>
      </w:tr>
      <w:tr w:rsidR="008E1E50" w:rsidRPr="008C54B7" w14:paraId="73E73748" w14:textId="77777777" w:rsidTr="008C54B7">
        <w:trPr>
          <w:trHeight w:val="287"/>
        </w:trPr>
        <w:tc>
          <w:tcPr>
            <w:tcW w:w="10890" w:type="dxa"/>
            <w:gridSpan w:val="4"/>
            <w:tcBorders>
              <w:top w:val="single" w:sz="4" w:space="0" w:color="000000"/>
              <w:left w:val="single" w:sz="7" w:space="0" w:color="000000"/>
              <w:bottom w:val="single" w:sz="8" w:space="0" w:color="000000"/>
              <w:right w:val="single" w:sz="4" w:space="0" w:color="000000"/>
            </w:tcBorders>
            <w:shd w:val="clear" w:color="auto" w:fill="FFFFFF" w:themeFill="background1"/>
          </w:tcPr>
          <w:p w14:paraId="270CF09D" w14:textId="2C68F34B" w:rsidR="008E1E50" w:rsidRPr="008C54B7" w:rsidRDefault="00F07770" w:rsidP="008C54B7">
            <w:pPr>
              <w:ind w:left="94"/>
              <w:rPr>
                <w:b/>
                <w:sz w:val="22"/>
              </w:rPr>
            </w:pPr>
            <w:r w:rsidRPr="008C54B7">
              <w:rPr>
                <w:b/>
                <w:sz w:val="22"/>
              </w:rPr>
              <w:t>Related p</w:t>
            </w:r>
            <w:r w:rsidR="00A66758" w:rsidRPr="008C54B7">
              <w:rPr>
                <w:b/>
                <w:sz w:val="22"/>
              </w:rPr>
              <w:t xml:space="preserve">ast </w:t>
            </w:r>
            <w:r w:rsidRPr="008C54B7">
              <w:rPr>
                <w:b/>
                <w:sz w:val="22"/>
              </w:rPr>
              <w:t>therapeutic treatment</w:t>
            </w:r>
            <w:r w:rsidR="0093175A" w:rsidRPr="008C54B7">
              <w:rPr>
                <w:b/>
                <w:sz w:val="22"/>
              </w:rPr>
              <w:t xml:space="preserve"> </w:t>
            </w:r>
            <w:r w:rsidRPr="008C54B7">
              <w:rPr>
                <w:b/>
                <w:sz w:val="22"/>
              </w:rPr>
              <w:t>h</w:t>
            </w:r>
            <w:r w:rsidR="0093175A" w:rsidRPr="008C54B7">
              <w:rPr>
                <w:b/>
                <w:sz w:val="22"/>
              </w:rPr>
              <w:t>istory</w:t>
            </w:r>
            <w:r w:rsidR="008E1E50" w:rsidRPr="008C54B7">
              <w:rPr>
                <w:b/>
                <w:sz w:val="22"/>
              </w:rPr>
              <w:t xml:space="preserve">: </w:t>
            </w:r>
            <w:r w:rsidR="008E1E50" w:rsidRPr="008C54B7">
              <w:rPr>
                <w:bCs/>
                <w:sz w:val="22"/>
              </w:rPr>
              <w:t>(</w:t>
            </w:r>
            <w:r w:rsidR="008E1E50" w:rsidRPr="008C54B7">
              <w:rPr>
                <w:sz w:val="22"/>
              </w:rPr>
              <w:t>for treatment of the condition(s) requiring the requested drug)</w:t>
            </w:r>
            <w:r w:rsidR="007F299E" w:rsidRPr="008C54B7">
              <w:rPr>
                <w:sz w:val="22"/>
              </w:rPr>
              <w:t xml:space="preserve"> </w:t>
            </w:r>
            <w:r w:rsidR="008E1E50" w:rsidRPr="008C54B7">
              <w:rPr>
                <w:b/>
                <w:sz w:val="22"/>
              </w:rPr>
              <w:t xml:space="preserve"> </w:t>
            </w:r>
          </w:p>
          <w:p w14:paraId="63A01DEF" w14:textId="77777777" w:rsidR="00A66758" w:rsidRPr="008C54B7" w:rsidRDefault="00A66758" w:rsidP="0093175A">
            <w:pPr>
              <w:rPr>
                <w:b/>
                <w:sz w:val="22"/>
              </w:rPr>
            </w:pPr>
          </w:p>
          <w:p w14:paraId="588B5275" w14:textId="70AB5141" w:rsidR="00D62B7C" w:rsidRPr="008C54B7" w:rsidRDefault="00D62B7C" w:rsidP="0093175A">
            <w:pPr>
              <w:rPr>
                <w:sz w:val="22"/>
              </w:rPr>
            </w:pPr>
          </w:p>
        </w:tc>
      </w:tr>
      <w:tr w:rsidR="008E1E50" w:rsidRPr="008C54B7" w14:paraId="3512CAD1" w14:textId="77777777" w:rsidTr="008C54B7">
        <w:trPr>
          <w:trHeight w:val="579"/>
        </w:trPr>
        <w:tc>
          <w:tcPr>
            <w:tcW w:w="3776" w:type="dxa"/>
            <w:tcBorders>
              <w:top w:val="single" w:sz="8" w:space="0" w:color="000000"/>
              <w:left w:val="single" w:sz="7" w:space="0" w:color="000000"/>
              <w:bottom w:val="single" w:sz="4" w:space="0" w:color="000000"/>
              <w:right w:val="single" w:sz="4" w:space="0" w:color="000000"/>
            </w:tcBorders>
          </w:tcPr>
          <w:p w14:paraId="0840AAC3" w14:textId="2BFFBE1A" w:rsidR="008E1E50" w:rsidRPr="008C54B7" w:rsidRDefault="00405AB5" w:rsidP="00D07717">
            <w:pPr>
              <w:spacing w:after="120" w:line="259" w:lineRule="auto"/>
              <w:ind w:left="14" w:firstLine="0"/>
              <w:jc w:val="center"/>
              <w:rPr>
                <w:sz w:val="22"/>
              </w:rPr>
            </w:pPr>
            <w:r w:rsidRPr="008C54B7">
              <w:rPr>
                <w:b/>
                <w:sz w:val="22"/>
              </w:rPr>
              <w:t xml:space="preserve">Previous </w:t>
            </w:r>
            <w:r w:rsidR="0093175A" w:rsidRPr="008C54B7">
              <w:rPr>
                <w:b/>
                <w:sz w:val="22"/>
              </w:rPr>
              <w:t>Drug Tried</w:t>
            </w:r>
            <w:r w:rsidR="008E1E50" w:rsidRPr="008C54B7">
              <w:rPr>
                <w:b/>
                <w:sz w:val="22"/>
              </w:rPr>
              <w:t xml:space="preserve"> </w:t>
            </w:r>
          </w:p>
        </w:tc>
        <w:tc>
          <w:tcPr>
            <w:tcW w:w="2626" w:type="dxa"/>
            <w:gridSpan w:val="2"/>
            <w:tcBorders>
              <w:top w:val="single" w:sz="8" w:space="0" w:color="000000"/>
              <w:left w:val="single" w:sz="4" w:space="0" w:color="000000"/>
              <w:bottom w:val="single" w:sz="4" w:space="0" w:color="000000"/>
              <w:right w:val="single" w:sz="4" w:space="0" w:color="000000"/>
            </w:tcBorders>
          </w:tcPr>
          <w:p w14:paraId="33E3BA01" w14:textId="04AC8990" w:rsidR="008E1E50" w:rsidRPr="008C54B7" w:rsidRDefault="008E1E50" w:rsidP="00D07717">
            <w:pPr>
              <w:spacing w:after="120" w:line="259" w:lineRule="auto"/>
              <w:ind w:left="120" w:firstLine="0"/>
              <w:rPr>
                <w:sz w:val="22"/>
              </w:rPr>
            </w:pPr>
            <w:r w:rsidRPr="008C54B7">
              <w:rPr>
                <w:b/>
                <w:sz w:val="22"/>
              </w:rPr>
              <w:t>D</w:t>
            </w:r>
            <w:r w:rsidR="0093175A" w:rsidRPr="008C54B7">
              <w:rPr>
                <w:b/>
                <w:sz w:val="22"/>
              </w:rPr>
              <w:t>ates</w:t>
            </w:r>
            <w:r w:rsidRPr="008C54B7">
              <w:rPr>
                <w:b/>
                <w:sz w:val="22"/>
              </w:rPr>
              <w:t xml:space="preserve"> of Drug Trials </w:t>
            </w:r>
          </w:p>
        </w:tc>
        <w:tc>
          <w:tcPr>
            <w:tcW w:w="4488" w:type="dxa"/>
            <w:tcBorders>
              <w:top w:val="single" w:sz="8" w:space="0" w:color="000000"/>
              <w:left w:val="single" w:sz="4" w:space="0" w:color="000000"/>
              <w:bottom w:val="single" w:sz="4" w:space="0" w:color="000000"/>
              <w:right w:val="single" w:sz="4" w:space="0" w:color="000000"/>
            </w:tcBorders>
          </w:tcPr>
          <w:p w14:paraId="426396EC" w14:textId="4D4745F3" w:rsidR="008E1E50" w:rsidRPr="008C54B7" w:rsidRDefault="008E1E50" w:rsidP="00D07717">
            <w:pPr>
              <w:spacing w:after="120" w:line="259" w:lineRule="auto"/>
              <w:ind w:left="5" w:firstLine="0"/>
              <w:jc w:val="center"/>
              <w:rPr>
                <w:b/>
                <w:sz w:val="22"/>
              </w:rPr>
            </w:pPr>
            <w:r w:rsidRPr="008C54B7">
              <w:rPr>
                <w:b/>
                <w:sz w:val="22"/>
              </w:rPr>
              <w:t>R</w:t>
            </w:r>
            <w:r w:rsidR="0093175A" w:rsidRPr="008C54B7">
              <w:rPr>
                <w:b/>
                <w:sz w:val="22"/>
              </w:rPr>
              <w:t>esults</w:t>
            </w:r>
            <w:r w:rsidRPr="008C54B7">
              <w:rPr>
                <w:b/>
                <w:sz w:val="22"/>
              </w:rPr>
              <w:t xml:space="preserve"> of previous drug trials</w:t>
            </w:r>
          </w:p>
          <w:p w14:paraId="01A1BE6B" w14:textId="77777777" w:rsidR="008E1E50" w:rsidRPr="008C54B7" w:rsidRDefault="008E1E50" w:rsidP="00D07717">
            <w:pPr>
              <w:spacing w:after="120" w:line="259" w:lineRule="auto"/>
              <w:rPr>
                <w:sz w:val="22"/>
              </w:rPr>
            </w:pPr>
          </w:p>
        </w:tc>
      </w:tr>
    </w:tbl>
    <w:p w14:paraId="093F6279" w14:textId="7E3F3654" w:rsidR="009970AE" w:rsidRPr="008C54B7" w:rsidRDefault="009970AE" w:rsidP="0093175A">
      <w:pPr>
        <w:spacing w:after="120"/>
        <w:ind w:left="0" w:firstLine="0"/>
        <w:rPr>
          <w:sz w:val="22"/>
        </w:rPr>
      </w:pPr>
    </w:p>
    <w:tbl>
      <w:tblPr>
        <w:tblStyle w:val="TableGrid"/>
        <w:tblW w:w="1100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6"/>
      </w:tblGrid>
      <w:tr w:rsidR="001F459F" w:rsidRPr="008C54B7" w14:paraId="52C54347" w14:textId="77777777" w:rsidTr="00315924">
        <w:trPr>
          <w:trHeight w:val="289"/>
        </w:trPr>
        <w:tc>
          <w:tcPr>
            <w:tcW w:w="11006" w:type="dxa"/>
            <w:shd w:val="clear" w:color="auto" w:fill="FFFFFF" w:themeFill="background1"/>
          </w:tcPr>
          <w:p w14:paraId="39CEEF76" w14:textId="21CA57D7" w:rsidR="001F459F" w:rsidRPr="008C54B7" w:rsidRDefault="00B8234F" w:rsidP="000A166A">
            <w:pPr>
              <w:spacing w:after="120" w:line="259" w:lineRule="auto"/>
              <w:ind w:left="107" w:firstLine="0"/>
              <w:jc w:val="both"/>
              <w:rPr>
                <w:b/>
                <w:sz w:val="22"/>
              </w:rPr>
            </w:pPr>
            <w:r w:rsidRPr="008C54B7">
              <w:rPr>
                <w:b/>
                <w:sz w:val="22"/>
              </w:rPr>
              <w:lastRenderedPageBreak/>
              <w:t xml:space="preserve">CLINICAL </w:t>
            </w:r>
            <w:r w:rsidR="00405AB5" w:rsidRPr="008C54B7">
              <w:rPr>
                <w:b/>
                <w:sz w:val="22"/>
              </w:rPr>
              <w:t>RATIONALE</w:t>
            </w:r>
            <w:r w:rsidR="006E37C4" w:rsidRPr="008C54B7">
              <w:rPr>
                <w:b/>
                <w:sz w:val="22"/>
              </w:rPr>
              <w:t xml:space="preserve"> FOR </w:t>
            </w:r>
            <w:r w:rsidR="00405AB5" w:rsidRPr="008C54B7">
              <w:rPr>
                <w:b/>
                <w:sz w:val="22"/>
              </w:rPr>
              <w:t>MEDICAL NECESSITY</w:t>
            </w:r>
            <w:r w:rsidR="007B7D48" w:rsidRPr="008C54B7">
              <w:rPr>
                <w:b/>
                <w:sz w:val="22"/>
              </w:rPr>
              <w:t xml:space="preserve"> (check all that apply)</w:t>
            </w:r>
          </w:p>
        </w:tc>
      </w:tr>
      <w:tr w:rsidR="008E1E50" w:rsidRPr="008C54B7" w14:paraId="51F5A27B" w14:textId="77777777" w:rsidTr="00315924">
        <w:trPr>
          <w:trHeight w:val="10947"/>
        </w:trPr>
        <w:tc>
          <w:tcPr>
            <w:tcW w:w="11006" w:type="dxa"/>
          </w:tcPr>
          <w:p w14:paraId="74B2EA95" w14:textId="42B9260E" w:rsidR="008E1E50" w:rsidRPr="008C54B7" w:rsidRDefault="008E1E50" w:rsidP="00613947">
            <w:pPr>
              <w:spacing w:after="120" w:line="248" w:lineRule="auto"/>
              <w:ind w:left="107" w:right="121" w:firstLine="0"/>
              <w:jc w:val="both"/>
              <w:rPr>
                <w:sz w:val="22"/>
              </w:rPr>
            </w:pPr>
            <w:r w:rsidRPr="008C54B7">
              <w:rPr>
                <w:rFonts w:ascii="Segoe UI Symbol" w:eastAsia="Times New Roman" w:hAnsi="Segoe UI Symbol" w:cs="Segoe UI Symbol"/>
                <w:sz w:val="22"/>
              </w:rPr>
              <w:t>☐</w:t>
            </w:r>
            <w:r w:rsidRPr="008C54B7">
              <w:rPr>
                <w:rFonts w:eastAsia="Times New Roman"/>
                <w:sz w:val="22"/>
              </w:rPr>
              <w:t xml:space="preserve"> </w:t>
            </w:r>
            <w:r w:rsidRPr="008C54B7">
              <w:rPr>
                <w:b/>
                <w:sz w:val="22"/>
              </w:rPr>
              <w:t xml:space="preserve">Alternate drug(s) contraindicated or previously tried, but with adverse outcome, </w:t>
            </w:r>
            <w:proofErr w:type="spellStart"/>
            <w:r w:rsidRPr="008C54B7">
              <w:rPr>
                <w:b/>
                <w:sz w:val="22"/>
              </w:rPr>
              <w:t>eg</w:t>
            </w:r>
            <w:proofErr w:type="spellEnd"/>
            <w:r w:rsidR="0063326D">
              <w:rPr>
                <w:b/>
                <w:sz w:val="22"/>
              </w:rPr>
              <w:t>,</w:t>
            </w:r>
            <w:r w:rsidRPr="008C54B7">
              <w:rPr>
                <w:b/>
                <w:sz w:val="22"/>
              </w:rPr>
              <w:t xml:space="preserve"> toxicity, allergy, or therapeutic failure</w:t>
            </w:r>
            <w:r w:rsidR="00E70E06" w:rsidRPr="008C54B7">
              <w:rPr>
                <w:b/>
                <w:sz w:val="22"/>
              </w:rPr>
              <w:t>.</w:t>
            </w:r>
            <w:r w:rsidRPr="008C54B7">
              <w:rPr>
                <w:sz w:val="22"/>
              </w:rPr>
              <w:t xml:space="preserve"> </w:t>
            </w:r>
          </w:p>
          <w:p w14:paraId="47D103AE" w14:textId="1CB10F23" w:rsidR="000A166A" w:rsidRPr="008C54B7" w:rsidRDefault="000A166A" w:rsidP="00613947">
            <w:pPr>
              <w:spacing w:after="120" w:line="248" w:lineRule="auto"/>
              <w:ind w:left="107" w:right="121" w:firstLine="0"/>
              <w:jc w:val="both"/>
              <w:rPr>
                <w:sz w:val="22"/>
              </w:rPr>
            </w:pPr>
            <w:r w:rsidRPr="008C54B7">
              <w:rPr>
                <w:sz w:val="22"/>
              </w:rPr>
              <w:t>________________________________________________________________________________________ ________________________________________________________________________________________ ________________________________________________________________________________________</w:t>
            </w:r>
          </w:p>
          <w:p w14:paraId="0EDE56A2" w14:textId="50347F2B" w:rsidR="008E1E50" w:rsidRPr="008C54B7" w:rsidRDefault="008E1E50" w:rsidP="00613947">
            <w:pPr>
              <w:spacing w:after="120"/>
              <w:ind w:left="107" w:right="121" w:firstLine="0"/>
              <w:jc w:val="both"/>
              <w:rPr>
                <w:sz w:val="22"/>
              </w:rPr>
            </w:pPr>
            <w:r w:rsidRPr="008C54B7">
              <w:rPr>
                <w:rFonts w:ascii="Segoe UI Symbol" w:eastAsia="Times New Roman" w:hAnsi="Segoe UI Symbol" w:cs="Segoe UI Symbol"/>
                <w:sz w:val="22"/>
              </w:rPr>
              <w:t>☐</w:t>
            </w:r>
            <w:r w:rsidRPr="008C54B7">
              <w:rPr>
                <w:rFonts w:eastAsia="Times New Roman"/>
                <w:sz w:val="22"/>
              </w:rPr>
              <w:t xml:space="preserve"> </w:t>
            </w:r>
            <w:r w:rsidRPr="008C54B7">
              <w:rPr>
                <w:b/>
                <w:sz w:val="22"/>
              </w:rPr>
              <w:t>Patient is stable on current drug(s</w:t>
            </w:r>
            <w:proofErr w:type="gramStart"/>
            <w:r w:rsidRPr="008C54B7">
              <w:rPr>
                <w:b/>
                <w:sz w:val="22"/>
              </w:rPr>
              <w:t>);</w:t>
            </w:r>
            <w:proofErr w:type="gramEnd"/>
            <w:r w:rsidRPr="008C54B7">
              <w:rPr>
                <w:b/>
                <w:sz w:val="22"/>
              </w:rPr>
              <w:t xml:space="preserve"> high risk of significant adverse clinical outcome with medication change</w:t>
            </w:r>
            <w:r w:rsidR="00E70E06" w:rsidRPr="008C54B7">
              <w:rPr>
                <w:b/>
                <w:sz w:val="22"/>
              </w:rPr>
              <w:t>.</w:t>
            </w:r>
            <w:r w:rsidRPr="008C54B7">
              <w:rPr>
                <w:sz w:val="22"/>
              </w:rPr>
              <w:t xml:space="preserve"> </w:t>
            </w:r>
          </w:p>
          <w:p w14:paraId="5525F71F" w14:textId="2FB11D89" w:rsidR="008E1E50" w:rsidRPr="008C54B7" w:rsidRDefault="008E1E50" w:rsidP="001F2B3C">
            <w:pPr>
              <w:spacing w:after="120" w:line="270" w:lineRule="auto"/>
              <w:ind w:left="107" w:right="138" w:firstLine="0"/>
              <w:jc w:val="both"/>
              <w:rPr>
                <w:b/>
                <w:bCs/>
                <w:sz w:val="22"/>
              </w:rPr>
            </w:pPr>
            <w:r w:rsidRPr="008C54B7">
              <w:rPr>
                <w:rFonts w:ascii="Segoe UI Symbol" w:eastAsia="Times New Roman" w:hAnsi="Segoe UI Symbol" w:cs="Segoe UI Symbol"/>
                <w:sz w:val="22"/>
              </w:rPr>
              <w:t>☐</w:t>
            </w:r>
            <w:r w:rsidRPr="008C54B7">
              <w:rPr>
                <w:rFonts w:eastAsia="Times New Roman"/>
                <w:sz w:val="22"/>
              </w:rPr>
              <w:t xml:space="preserve"> </w:t>
            </w:r>
            <w:r w:rsidR="00BC4AE9" w:rsidRPr="008C54B7">
              <w:rPr>
                <w:b/>
                <w:bCs/>
                <w:sz w:val="22"/>
              </w:rPr>
              <w:t>XIFAXAN</w:t>
            </w:r>
            <w:r w:rsidRPr="008C54B7">
              <w:rPr>
                <w:b/>
                <w:bCs/>
                <w:sz w:val="22"/>
              </w:rPr>
              <w:t xml:space="preserve"> </w:t>
            </w:r>
            <w:r w:rsidR="001F2B3C" w:rsidRPr="008C54B7">
              <w:rPr>
                <w:b/>
                <w:bCs/>
                <w:sz w:val="22"/>
              </w:rPr>
              <w:t xml:space="preserve">earned the highest possible recommendation (GRADE I, A, 1) by the AASLD/EASL as an add-on therapy to lactulose to reduce the risk of </w:t>
            </w:r>
            <w:r w:rsidR="0063326D" w:rsidRPr="0063326D">
              <w:rPr>
                <w:b/>
                <w:bCs/>
                <w:sz w:val="22"/>
              </w:rPr>
              <w:t>OHE recurrence</w:t>
            </w:r>
            <w:r w:rsidR="0063326D">
              <w:rPr>
                <w:b/>
                <w:bCs/>
                <w:sz w:val="22"/>
              </w:rPr>
              <w:t xml:space="preserve"> </w:t>
            </w:r>
            <w:r w:rsidR="001F2B3C" w:rsidRPr="008C54B7">
              <w:rPr>
                <w:b/>
                <w:bCs/>
                <w:sz w:val="22"/>
              </w:rPr>
              <w:t>after a patient has a recurrence while on lactulose alone.</w:t>
            </w:r>
          </w:p>
          <w:p w14:paraId="168E5D01" w14:textId="4140C039" w:rsidR="00AE4525" w:rsidRPr="008C54B7" w:rsidRDefault="00AE4525" w:rsidP="00037E36">
            <w:pPr>
              <w:spacing w:after="120"/>
              <w:ind w:left="107" w:right="121" w:firstLine="0"/>
              <w:jc w:val="both"/>
              <w:rPr>
                <w:rFonts w:eastAsia="Times New Roman"/>
                <w:b/>
                <w:bCs/>
                <w:sz w:val="22"/>
              </w:rPr>
            </w:pPr>
            <w:r w:rsidRPr="008C54B7">
              <w:rPr>
                <w:rFonts w:ascii="Segoe UI Symbol" w:eastAsia="Times New Roman" w:hAnsi="Segoe UI Symbol" w:cs="Segoe UI Symbol"/>
                <w:b/>
                <w:bCs/>
                <w:sz w:val="22"/>
              </w:rPr>
              <w:t>☐</w:t>
            </w:r>
            <w:r w:rsidRPr="008C54B7">
              <w:rPr>
                <w:rFonts w:eastAsia="Times New Roman"/>
                <w:b/>
                <w:bCs/>
                <w:sz w:val="22"/>
              </w:rPr>
              <w:t xml:space="preserve"> </w:t>
            </w:r>
            <w:r w:rsidR="00642545" w:rsidRPr="00642545">
              <w:rPr>
                <w:b/>
                <w:bCs/>
                <w:sz w:val="22"/>
              </w:rPr>
              <w:t>Patient is at risk of recurring episode(s) of overt hepatic encephalopathy</w:t>
            </w:r>
            <w:r w:rsidR="00FC5777">
              <w:rPr>
                <w:b/>
                <w:bCs/>
                <w:sz w:val="22"/>
              </w:rPr>
              <w:t xml:space="preserve"> </w:t>
            </w:r>
            <w:r w:rsidR="00FC5777" w:rsidRPr="00FC5777">
              <w:rPr>
                <w:b/>
                <w:bCs/>
                <w:sz w:val="22"/>
              </w:rPr>
              <w:t>and rehospitalization due to OHE</w:t>
            </w:r>
            <w:r w:rsidR="00642545" w:rsidRPr="00642545">
              <w:rPr>
                <w:b/>
                <w:bCs/>
                <w:sz w:val="22"/>
              </w:rPr>
              <w:t>.</w:t>
            </w:r>
          </w:p>
          <w:p w14:paraId="27A4B6CF" w14:textId="69C56220" w:rsidR="00060305" w:rsidRPr="008C54B7" w:rsidRDefault="00060305" w:rsidP="00060305">
            <w:pPr>
              <w:spacing w:after="120" w:line="270" w:lineRule="auto"/>
              <w:ind w:left="107" w:right="138" w:firstLine="0"/>
              <w:jc w:val="both"/>
              <w:rPr>
                <w:b/>
                <w:bCs/>
                <w:sz w:val="22"/>
              </w:rPr>
            </w:pPr>
            <w:r w:rsidRPr="008C54B7">
              <w:rPr>
                <w:rFonts w:ascii="Segoe UI Symbol" w:eastAsia="Times New Roman" w:hAnsi="Segoe UI Symbol" w:cs="Segoe UI Symbol"/>
                <w:b/>
                <w:bCs/>
                <w:sz w:val="22"/>
              </w:rPr>
              <w:t>☐</w:t>
            </w:r>
            <w:r w:rsidRPr="008C54B7">
              <w:rPr>
                <w:rFonts w:eastAsia="Times New Roman"/>
                <w:b/>
                <w:bCs/>
                <w:sz w:val="22"/>
              </w:rPr>
              <w:t xml:space="preserve"> </w:t>
            </w:r>
            <w:r w:rsidRPr="008C54B7">
              <w:rPr>
                <w:b/>
                <w:bCs/>
                <w:sz w:val="22"/>
              </w:rPr>
              <w:t xml:space="preserve">XIFAXAN was given a strong recommendation to treat global IBS-D </w:t>
            </w:r>
            <w:r w:rsidR="00642545" w:rsidRPr="00642545">
              <w:rPr>
                <w:b/>
                <w:bCs/>
                <w:sz w:val="22"/>
              </w:rPr>
              <w:t>symptoms</w:t>
            </w:r>
            <w:r w:rsidRPr="008C54B7">
              <w:rPr>
                <w:b/>
                <w:bCs/>
                <w:sz w:val="22"/>
              </w:rPr>
              <w:t xml:space="preserve">, based on a moderate quality of evidence, in the 2020 American College of Gastroenterology (ACG) Clinical guideline on Managing IBS. </w:t>
            </w:r>
          </w:p>
          <w:p w14:paraId="66E2E2C3" w14:textId="71A354B4" w:rsidR="00060305" w:rsidRPr="008C54B7" w:rsidRDefault="008E1BD6" w:rsidP="00037E36">
            <w:pPr>
              <w:spacing w:after="120"/>
              <w:ind w:left="107" w:right="121" w:firstLine="0"/>
              <w:jc w:val="both"/>
              <w:rPr>
                <w:rFonts w:eastAsia="Times New Roman"/>
                <w:b/>
                <w:bCs/>
                <w:sz w:val="22"/>
              </w:rPr>
            </w:pPr>
            <w:r w:rsidRPr="008C54B7">
              <w:rPr>
                <w:rFonts w:ascii="Segoe UI Symbol" w:eastAsia="Times New Roman" w:hAnsi="Segoe UI Symbol" w:cs="Segoe UI Symbol"/>
                <w:b/>
                <w:bCs/>
                <w:sz w:val="22"/>
              </w:rPr>
              <w:t>☐</w:t>
            </w:r>
            <w:r w:rsidRPr="008C54B7">
              <w:rPr>
                <w:rFonts w:eastAsia="Times New Roman"/>
                <w:b/>
                <w:bCs/>
                <w:sz w:val="22"/>
              </w:rPr>
              <w:t xml:space="preserve"> </w:t>
            </w:r>
            <w:r w:rsidR="00642545" w:rsidRPr="00642545">
              <w:rPr>
                <w:rFonts w:eastAsia="Times New Roman"/>
                <w:b/>
                <w:bCs/>
                <w:sz w:val="22"/>
              </w:rPr>
              <w:t xml:space="preserve">Patient is experiencing multiple IBS-D symptoms such as ab pain, </w:t>
            </w:r>
            <w:r w:rsidR="00315924" w:rsidRPr="00315924">
              <w:rPr>
                <w:rFonts w:eastAsia="Times New Roman"/>
                <w:b/>
                <w:bCs/>
                <w:sz w:val="22"/>
              </w:rPr>
              <w:t>diarrhea, and bloating</w:t>
            </w:r>
            <w:r w:rsidR="00315924">
              <w:rPr>
                <w:rFonts w:eastAsia="Times New Roman"/>
                <w:b/>
                <w:bCs/>
                <w:sz w:val="22"/>
              </w:rPr>
              <w:t xml:space="preserve"> </w:t>
            </w:r>
            <w:r w:rsidR="00642545" w:rsidRPr="00642545">
              <w:rPr>
                <w:rFonts w:eastAsia="Times New Roman"/>
                <w:b/>
                <w:bCs/>
                <w:sz w:val="22"/>
              </w:rPr>
              <w:t>and requires treatment with demonstrated efficacy and safety for each of these.</w:t>
            </w:r>
          </w:p>
          <w:p w14:paraId="12DB6463" w14:textId="77777777" w:rsidR="00061A7A" w:rsidRPr="008C54B7" w:rsidRDefault="00061A7A" w:rsidP="001F2B3C">
            <w:pPr>
              <w:spacing w:after="120" w:line="270" w:lineRule="auto"/>
              <w:ind w:left="107" w:right="138" w:firstLine="0"/>
              <w:jc w:val="both"/>
              <w:rPr>
                <w:sz w:val="22"/>
              </w:rPr>
            </w:pPr>
          </w:p>
          <w:p w14:paraId="644F41DF" w14:textId="6FA0CA6B" w:rsidR="00B25523" w:rsidRPr="008C54B7" w:rsidRDefault="00232FA1" w:rsidP="008C54B7">
            <w:pPr>
              <w:spacing w:after="176" w:line="270" w:lineRule="auto"/>
              <w:ind w:left="94" w:right="138"/>
              <w:rPr>
                <w:sz w:val="22"/>
              </w:rPr>
            </w:pPr>
            <w:r w:rsidRPr="008C54B7">
              <w:rPr>
                <w:sz w:val="22"/>
              </w:rPr>
              <w:t>(List Below): _______________________________________________________________________________________ _______________________________________________________________________________________</w:t>
            </w:r>
          </w:p>
          <w:p w14:paraId="39D2C445" w14:textId="4140107F" w:rsidR="00F26646" w:rsidRPr="008C54B7" w:rsidRDefault="008E1E50" w:rsidP="008C54B7">
            <w:pPr>
              <w:spacing w:after="120" w:line="270" w:lineRule="auto"/>
              <w:ind w:left="94" w:right="138" w:firstLine="0"/>
              <w:jc w:val="both"/>
              <w:rPr>
                <w:bCs/>
                <w:color w:val="auto"/>
                <w:sz w:val="22"/>
              </w:rPr>
            </w:pPr>
            <w:r w:rsidRPr="008C54B7">
              <w:rPr>
                <w:sz w:val="22"/>
              </w:rPr>
              <w:t xml:space="preserve">Based on the </w:t>
            </w:r>
            <w:r w:rsidR="00B8234F" w:rsidRPr="008C54B7">
              <w:rPr>
                <w:sz w:val="22"/>
              </w:rPr>
              <w:t>information provided</w:t>
            </w:r>
            <w:r w:rsidRPr="008C54B7">
              <w:rPr>
                <w:sz w:val="22"/>
              </w:rPr>
              <w:t>,</w:t>
            </w:r>
            <w:r w:rsidR="00093395" w:rsidRPr="008C54B7">
              <w:rPr>
                <w:sz w:val="22"/>
              </w:rPr>
              <w:t xml:space="preserve"> I believe</w:t>
            </w:r>
            <w:r w:rsidRPr="008C54B7">
              <w:rPr>
                <w:sz w:val="22"/>
              </w:rPr>
              <w:t xml:space="preserve"> </w:t>
            </w:r>
            <w:r w:rsidR="00093395" w:rsidRPr="008C54B7">
              <w:rPr>
                <w:sz w:val="22"/>
              </w:rPr>
              <w:t>that</w:t>
            </w:r>
            <w:r w:rsidR="006F1829" w:rsidRPr="008C54B7">
              <w:rPr>
                <w:sz w:val="22"/>
              </w:rPr>
              <w:t xml:space="preserve"> </w:t>
            </w:r>
            <w:r w:rsidR="0071675E" w:rsidRPr="008C54B7">
              <w:rPr>
                <w:b/>
                <w:bCs/>
                <w:sz w:val="22"/>
              </w:rPr>
              <w:t>Xifaxan (rifaximin) 550mg tablets</w:t>
            </w:r>
            <w:r w:rsidR="0071675E" w:rsidRPr="008C54B7">
              <w:rPr>
                <w:rFonts w:eastAsia="Times New Roman"/>
                <w:color w:val="auto"/>
                <w:kern w:val="0"/>
                <w:sz w:val="22"/>
                <w14:ligatures w14:val="none"/>
              </w:rPr>
              <w:t xml:space="preserve"> </w:t>
            </w:r>
            <w:r w:rsidR="00642545">
              <w:rPr>
                <w:rFonts w:eastAsia="Times New Roman"/>
                <w:color w:val="auto"/>
                <w:kern w:val="0"/>
                <w:sz w:val="22"/>
                <w14:ligatures w14:val="none"/>
              </w:rPr>
              <w:t>are</w:t>
            </w:r>
            <w:r w:rsidRPr="008C54B7">
              <w:rPr>
                <w:rFonts w:eastAsia="Times New Roman"/>
                <w:color w:val="auto"/>
                <w:kern w:val="0"/>
                <w:sz w:val="22"/>
                <w14:ligatures w14:val="none"/>
              </w:rPr>
              <w:t xml:space="preserve"> </w:t>
            </w:r>
            <w:r w:rsidR="00093395" w:rsidRPr="008C54B7">
              <w:rPr>
                <w:rFonts w:eastAsia="Times New Roman"/>
                <w:color w:val="auto"/>
                <w:kern w:val="0"/>
                <w:sz w:val="22"/>
                <w14:ligatures w14:val="none"/>
              </w:rPr>
              <w:t xml:space="preserve">medically necessary </w:t>
            </w:r>
            <w:r w:rsidRPr="008C54B7">
              <w:rPr>
                <w:rFonts w:eastAsia="Times New Roman"/>
                <w:color w:val="auto"/>
                <w:kern w:val="0"/>
                <w:sz w:val="22"/>
                <w14:ligatures w14:val="none"/>
              </w:rPr>
              <w:t xml:space="preserve">for my patient. </w:t>
            </w:r>
            <w:r w:rsidR="005722C0" w:rsidRPr="008C54B7">
              <w:rPr>
                <w:rFonts w:eastAsia="Times New Roman"/>
                <w:color w:val="auto"/>
                <w:kern w:val="0"/>
                <w:sz w:val="22"/>
                <w14:ligatures w14:val="none"/>
              </w:rPr>
              <w:t xml:space="preserve">Please find attached the additional documents that support my </w:t>
            </w:r>
            <w:r w:rsidR="00820A4F" w:rsidRPr="008C54B7">
              <w:rPr>
                <w:rFonts w:eastAsia="Times New Roman"/>
                <w:color w:val="auto"/>
                <w:kern w:val="0"/>
                <w:sz w:val="22"/>
                <w14:ligatures w14:val="none"/>
              </w:rPr>
              <w:t>clinical</w:t>
            </w:r>
            <w:r w:rsidR="005722C0" w:rsidRPr="008C54B7">
              <w:rPr>
                <w:rFonts w:eastAsia="Times New Roman"/>
                <w:color w:val="auto"/>
                <w:kern w:val="0"/>
                <w:sz w:val="22"/>
                <w14:ligatures w14:val="none"/>
              </w:rPr>
              <w:t xml:space="preserve"> decision</w:t>
            </w:r>
            <w:r w:rsidR="00820A4F" w:rsidRPr="008C54B7">
              <w:rPr>
                <w:rFonts w:eastAsia="Times New Roman"/>
                <w:color w:val="auto"/>
                <w:kern w:val="0"/>
                <w:sz w:val="22"/>
                <w14:ligatures w14:val="none"/>
              </w:rPr>
              <w:t>.</w:t>
            </w:r>
            <w:r w:rsidR="00820A4F" w:rsidRPr="008C54B7">
              <w:rPr>
                <w:sz w:val="22"/>
              </w:rPr>
              <w:t xml:space="preserve"> If you need</w:t>
            </w:r>
            <w:r w:rsidR="00F26646" w:rsidRPr="008C54B7">
              <w:rPr>
                <w:sz w:val="22"/>
              </w:rPr>
              <w:t xml:space="preserve"> </w:t>
            </w:r>
            <w:r w:rsidR="00820A4F" w:rsidRPr="008C54B7">
              <w:rPr>
                <w:sz w:val="22"/>
              </w:rPr>
              <w:t>additional information</w:t>
            </w:r>
            <w:r w:rsidR="00F26646" w:rsidRPr="008C54B7">
              <w:rPr>
                <w:sz w:val="22"/>
              </w:rPr>
              <w:t xml:space="preserve"> for a timely approval</w:t>
            </w:r>
            <w:r w:rsidR="00820A4F" w:rsidRPr="008C54B7">
              <w:rPr>
                <w:sz w:val="22"/>
              </w:rPr>
              <w:t xml:space="preserve">, please contact me at </w:t>
            </w:r>
            <w:r w:rsidR="00896593" w:rsidRPr="008C54B7">
              <w:rPr>
                <w:bCs/>
                <w:color w:val="000000" w:themeColor="text1"/>
                <w:sz w:val="22"/>
              </w:rPr>
              <w:t>&lt;</w:t>
            </w:r>
            <w:r w:rsidR="00896593" w:rsidRPr="008C54B7">
              <w:rPr>
                <w:bCs/>
                <w:color w:val="2F5496" w:themeColor="accent1" w:themeShade="BF"/>
                <w:sz w:val="22"/>
              </w:rPr>
              <w:t>Insert Phone Number</w:t>
            </w:r>
            <w:r w:rsidR="00896593" w:rsidRPr="008C54B7">
              <w:rPr>
                <w:bCs/>
                <w:color w:val="000000" w:themeColor="text1"/>
                <w:sz w:val="22"/>
              </w:rPr>
              <w:t>&gt;</w:t>
            </w:r>
          </w:p>
          <w:p w14:paraId="1D3D1460" w14:textId="77777777" w:rsidR="008E1E50" w:rsidRPr="008C54B7" w:rsidRDefault="008E1E50" w:rsidP="008C54B7">
            <w:pPr>
              <w:spacing w:after="120" w:line="270" w:lineRule="auto"/>
              <w:ind w:left="94" w:right="138" w:firstLine="0"/>
              <w:jc w:val="both"/>
              <w:rPr>
                <w:bCs/>
                <w:sz w:val="22"/>
              </w:rPr>
            </w:pPr>
            <w:r w:rsidRPr="008C54B7">
              <w:rPr>
                <w:bCs/>
                <w:sz w:val="22"/>
              </w:rPr>
              <w:t xml:space="preserve">Sincerely </w:t>
            </w:r>
          </w:p>
          <w:p w14:paraId="4B4362E4" w14:textId="3EC8BBF4" w:rsidR="008E1E50" w:rsidRPr="008C54B7" w:rsidRDefault="00896593" w:rsidP="000546E5">
            <w:pPr>
              <w:spacing w:after="120" w:line="270" w:lineRule="auto"/>
              <w:ind w:left="107" w:right="138" w:firstLine="0"/>
              <w:jc w:val="both"/>
              <w:rPr>
                <w:b/>
                <w:color w:val="FF66CC"/>
                <w:sz w:val="22"/>
              </w:rPr>
            </w:pPr>
            <w:r w:rsidRPr="008C54B7">
              <w:rPr>
                <w:bCs/>
                <w:color w:val="000000" w:themeColor="text1"/>
                <w:sz w:val="22"/>
              </w:rPr>
              <w:t>&lt;</w:t>
            </w:r>
            <w:r w:rsidRPr="008C54B7">
              <w:rPr>
                <w:bCs/>
                <w:color w:val="2F5496" w:themeColor="accent1" w:themeShade="BF"/>
                <w:sz w:val="22"/>
              </w:rPr>
              <w:t>Insert Healthcare Provider Name</w:t>
            </w:r>
            <w:r w:rsidRPr="008C54B7">
              <w:rPr>
                <w:bCs/>
                <w:color w:val="000000" w:themeColor="text1"/>
                <w:sz w:val="22"/>
              </w:rPr>
              <w:t>&gt;</w:t>
            </w:r>
          </w:p>
          <w:p w14:paraId="6CAC8480" w14:textId="472D80C2" w:rsidR="008E1E50" w:rsidRPr="008C54B7" w:rsidRDefault="00896593" w:rsidP="0093175A">
            <w:pPr>
              <w:spacing w:after="120" w:line="270" w:lineRule="auto"/>
              <w:ind w:left="107" w:right="138" w:firstLine="0"/>
              <w:jc w:val="both"/>
              <w:rPr>
                <w:b/>
                <w:color w:val="FF66CC"/>
                <w:sz w:val="22"/>
              </w:rPr>
            </w:pPr>
            <w:r w:rsidRPr="008C54B7">
              <w:rPr>
                <w:bCs/>
                <w:color w:val="000000" w:themeColor="text1"/>
                <w:sz w:val="22"/>
              </w:rPr>
              <w:t>&lt;</w:t>
            </w:r>
            <w:r w:rsidRPr="008C54B7">
              <w:rPr>
                <w:bCs/>
                <w:color w:val="2F5496" w:themeColor="accent1" w:themeShade="BF"/>
                <w:sz w:val="22"/>
              </w:rPr>
              <w:t>Insert Signature</w:t>
            </w:r>
            <w:r w:rsidRPr="008C54B7">
              <w:rPr>
                <w:bCs/>
                <w:color w:val="000000" w:themeColor="text1"/>
                <w:sz w:val="22"/>
              </w:rPr>
              <w:t>&gt;</w:t>
            </w:r>
          </w:p>
          <w:p w14:paraId="61BBDFB9" w14:textId="315CC2B9" w:rsidR="00B90952" w:rsidRPr="008C54B7" w:rsidRDefault="00B90952" w:rsidP="00D77F69">
            <w:pPr>
              <w:spacing w:after="120" w:line="270" w:lineRule="auto"/>
              <w:ind w:left="107" w:right="138" w:firstLine="0"/>
              <w:jc w:val="both"/>
              <w:rPr>
                <w:sz w:val="22"/>
              </w:rPr>
            </w:pPr>
            <w:r w:rsidRPr="008C54B7">
              <w:rPr>
                <w:b/>
                <w:bCs/>
                <w:sz w:val="22"/>
              </w:rPr>
              <w:t>Enclosures:</w:t>
            </w:r>
            <w:r w:rsidR="00945E59" w:rsidRPr="008C54B7">
              <w:rPr>
                <w:sz w:val="22"/>
              </w:rPr>
              <w:t xml:space="preserve"> </w:t>
            </w:r>
            <w:r w:rsidR="006F1829" w:rsidRPr="008C54B7">
              <w:rPr>
                <w:sz w:val="22"/>
              </w:rPr>
              <w:t>Consider i</w:t>
            </w:r>
            <w:r w:rsidR="00945E59" w:rsidRPr="008C54B7">
              <w:rPr>
                <w:sz w:val="22"/>
              </w:rPr>
              <w:t>nclud</w:t>
            </w:r>
            <w:r w:rsidR="006F1829" w:rsidRPr="008C54B7">
              <w:rPr>
                <w:sz w:val="22"/>
              </w:rPr>
              <w:t>ing</w:t>
            </w:r>
            <w:r w:rsidR="00945E59" w:rsidRPr="008C54B7">
              <w:rPr>
                <w:sz w:val="22"/>
              </w:rPr>
              <w:t xml:space="preserve"> </w:t>
            </w:r>
            <w:r w:rsidR="0078162E" w:rsidRPr="008C54B7">
              <w:rPr>
                <w:sz w:val="22"/>
              </w:rPr>
              <w:t>patient medical history</w:t>
            </w:r>
            <w:r w:rsidR="0051656D" w:rsidRPr="008C54B7">
              <w:rPr>
                <w:sz w:val="22"/>
              </w:rPr>
              <w:t>, relevant state therapy</w:t>
            </w:r>
            <w:r w:rsidR="00AF1AE6" w:rsidRPr="008C54B7">
              <w:rPr>
                <w:sz w:val="22"/>
              </w:rPr>
              <w:t xml:space="preserve"> legislation,</w:t>
            </w:r>
            <w:r w:rsidR="006F1829" w:rsidRPr="008C54B7">
              <w:rPr>
                <w:sz w:val="22"/>
              </w:rPr>
              <w:t xml:space="preserve"> notes and </w:t>
            </w:r>
            <w:r w:rsidR="00945E59" w:rsidRPr="008C54B7">
              <w:rPr>
                <w:sz w:val="22"/>
              </w:rPr>
              <w:t>product prescribing information which can be found at</w:t>
            </w:r>
            <w:r w:rsidR="003A57F5" w:rsidRPr="008C54B7">
              <w:rPr>
                <w:sz w:val="22"/>
              </w:rPr>
              <w:t>:</w:t>
            </w:r>
            <w:r w:rsidR="00D77F69" w:rsidRPr="008C54B7">
              <w:rPr>
                <w:sz w:val="22"/>
              </w:rPr>
              <w:t xml:space="preserve">  </w:t>
            </w:r>
            <w:hyperlink r:id="rId8" w:history="1">
              <w:r w:rsidR="003A57F5" w:rsidRPr="008C54B7">
                <w:rPr>
                  <w:rStyle w:val="Hyperlink"/>
                  <w:sz w:val="22"/>
                </w:rPr>
                <w:t>XIFAXAN® (rifaximin) for patients with Overt HE and IBS-D | HCP</w:t>
              </w:r>
            </w:hyperlink>
          </w:p>
          <w:p w14:paraId="79059E87" w14:textId="77777777" w:rsidR="00D77F69" w:rsidRPr="008C54B7" w:rsidRDefault="00D77F69" w:rsidP="008B4A23">
            <w:pPr>
              <w:pStyle w:val="BodyText"/>
              <w:rPr>
                <w:b/>
                <w:bCs/>
                <w:sz w:val="22"/>
                <w:szCs w:val="22"/>
              </w:rPr>
            </w:pPr>
          </w:p>
          <w:p w14:paraId="759B63B1" w14:textId="3D64C131" w:rsidR="00D77F69" w:rsidRPr="008C54B7" w:rsidRDefault="004A4D93" w:rsidP="008C54B7">
            <w:pPr>
              <w:pStyle w:val="BodyText"/>
              <w:ind w:left="94"/>
              <w:rPr>
                <w:bCs/>
                <w:sz w:val="22"/>
                <w:szCs w:val="22"/>
              </w:rPr>
            </w:pPr>
            <w:r w:rsidRPr="008C54B7">
              <w:rPr>
                <w:b/>
                <w:bCs/>
                <w:sz w:val="22"/>
                <w:szCs w:val="22"/>
              </w:rPr>
              <w:t>State Therapy Law Information (</w:t>
            </w:r>
            <w:hyperlink r:id="rId9" w:history="1">
              <w:r w:rsidR="00D77F69" w:rsidRPr="008C54B7">
                <w:rPr>
                  <w:rStyle w:val="Hyperlink"/>
                  <w:b/>
                  <w:bCs/>
                  <w:sz w:val="22"/>
                  <w:szCs w:val="22"/>
                </w:rPr>
                <w:t>www.steptherapy.com</w:t>
              </w:r>
            </w:hyperlink>
            <w:r w:rsidRPr="008C54B7">
              <w:rPr>
                <w:b/>
                <w:bCs/>
                <w:sz w:val="22"/>
                <w:szCs w:val="22"/>
              </w:rPr>
              <w:t>)</w:t>
            </w:r>
            <w:r w:rsidR="00D77F69" w:rsidRPr="008C54B7">
              <w:rPr>
                <w:b/>
                <w:bCs/>
                <w:sz w:val="22"/>
                <w:szCs w:val="22"/>
              </w:rPr>
              <w:t xml:space="preserve"> </w:t>
            </w:r>
            <w:r w:rsidRPr="008C54B7">
              <w:rPr>
                <w:bCs/>
                <w:sz w:val="22"/>
                <w:szCs w:val="22"/>
              </w:rPr>
              <w:t>________________________________________</w:t>
            </w:r>
          </w:p>
          <w:p w14:paraId="006F895F" w14:textId="20EAB1E2" w:rsidR="00061A7A" w:rsidRPr="008C54B7" w:rsidRDefault="00061A7A" w:rsidP="00061A7A">
            <w:pPr>
              <w:pStyle w:val="BodyText"/>
              <w:rPr>
                <w:bCs/>
                <w:sz w:val="22"/>
                <w:szCs w:val="22"/>
              </w:rPr>
            </w:pPr>
          </w:p>
        </w:tc>
      </w:tr>
    </w:tbl>
    <w:p w14:paraId="0DC06606" w14:textId="77777777" w:rsidR="00315924" w:rsidRDefault="00315924">
      <w:r>
        <w:br w:type="page"/>
      </w:r>
    </w:p>
    <w:tbl>
      <w:tblPr>
        <w:tblStyle w:val="TableGrid"/>
        <w:tblW w:w="1100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6"/>
      </w:tblGrid>
      <w:tr w:rsidR="008E1E50" w:rsidRPr="008C54B7" w14:paraId="09DB41B2" w14:textId="77777777" w:rsidTr="00315924">
        <w:trPr>
          <w:trHeight w:val="2794"/>
        </w:trPr>
        <w:tc>
          <w:tcPr>
            <w:tcW w:w="11006" w:type="dxa"/>
          </w:tcPr>
          <w:p w14:paraId="7565D891" w14:textId="21D544E2" w:rsidR="008E1E50" w:rsidRPr="008C54B7" w:rsidRDefault="008E1E50" w:rsidP="008C54B7">
            <w:pPr>
              <w:shd w:val="clear" w:color="auto" w:fill="FFFFFF"/>
              <w:spacing w:after="75" w:line="315" w:lineRule="atLeast"/>
              <w:ind w:left="94" w:right="106" w:firstLine="0"/>
              <w:outlineLvl w:val="1"/>
              <w:rPr>
                <w:rFonts w:eastAsia="Times New Roman"/>
                <w:b/>
                <w:bCs/>
                <w:caps/>
                <w:color w:val="auto"/>
                <w:kern w:val="0"/>
                <w:sz w:val="22"/>
                <w14:ligatures w14:val="none"/>
              </w:rPr>
            </w:pPr>
            <w:r w:rsidRPr="008C54B7">
              <w:rPr>
                <w:rFonts w:eastAsia="Times New Roman"/>
                <w:b/>
                <w:bCs/>
                <w:caps/>
                <w:color w:val="auto"/>
                <w:kern w:val="0"/>
                <w:sz w:val="22"/>
                <w14:ligatures w14:val="none"/>
              </w:rPr>
              <w:lastRenderedPageBreak/>
              <w:t>For the prescribers</w:t>
            </w:r>
            <w:r w:rsidR="00642545">
              <w:rPr>
                <w:rFonts w:eastAsia="Times New Roman"/>
                <w:b/>
                <w:bCs/>
                <w:caps/>
                <w:color w:val="auto"/>
                <w:kern w:val="0"/>
                <w:sz w:val="22"/>
                <w14:ligatures w14:val="none"/>
              </w:rPr>
              <w:t>’</w:t>
            </w:r>
            <w:r w:rsidRPr="008C54B7">
              <w:rPr>
                <w:rFonts w:eastAsia="Times New Roman"/>
                <w:b/>
                <w:bCs/>
                <w:caps/>
                <w:color w:val="auto"/>
                <w:kern w:val="0"/>
                <w:sz w:val="22"/>
                <w14:ligatures w14:val="none"/>
              </w:rPr>
              <w:t xml:space="preserve"> background information:</w:t>
            </w:r>
          </w:p>
          <w:p w14:paraId="59D54B7B" w14:textId="77777777" w:rsidR="0037423B" w:rsidRPr="008C54B7" w:rsidRDefault="0037423B" w:rsidP="008C54B7">
            <w:pPr>
              <w:ind w:left="94" w:right="106" w:firstLine="0"/>
              <w:rPr>
                <w:sz w:val="22"/>
              </w:rPr>
            </w:pPr>
          </w:p>
          <w:p w14:paraId="66BDA6B1" w14:textId="77777777" w:rsidR="0037423B" w:rsidRPr="008C54B7" w:rsidRDefault="0037423B" w:rsidP="008C54B7">
            <w:pPr>
              <w:shd w:val="clear" w:color="auto" w:fill="FFFFFF"/>
              <w:spacing w:after="75" w:line="300" w:lineRule="atLeast"/>
              <w:ind w:left="94" w:right="106" w:firstLine="0"/>
              <w:outlineLvl w:val="5"/>
              <w:rPr>
                <w:rFonts w:eastAsia="Times New Roman"/>
                <w:b/>
                <w:bCs/>
                <w:sz w:val="22"/>
              </w:rPr>
            </w:pPr>
            <w:r w:rsidRPr="008C54B7">
              <w:rPr>
                <w:rFonts w:eastAsia="Times New Roman"/>
                <w:b/>
                <w:bCs/>
                <w:sz w:val="22"/>
              </w:rPr>
              <w:t>INDICATIONS</w:t>
            </w:r>
          </w:p>
          <w:p w14:paraId="14B0BB8E" w14:textId="77777777" w:rsidR="0037423B" w:rsidRPr="008C54B7" w:rsidRDefault="0037423B" w:rsidP="008C54B7">
            <w:pPr>
              <w:shd w:val="clear" w:color="auto" w:fill="FFFFFF"/>
              <w:spacing w:after="75" w:line="330" w:lineRule="atLeast"/>
              <w:ind w:left="94" w:right="106" w:firstLine="0"/>
              <w:rPr>
                <w:rFonts w:eastAsia="Times New Roman"/>
                <w:sz w:val="22"/>
              </w:rPr>
            </w:pPr>
            <w:r w:rsidRPr="008C54B7">
              <w:rPr>
                <w:rFonts w:eastAsia="Times New Roman"/>
                <w:sz w:val="22"/>
              </w:rPr>
              <w:t>XIFAXAN</w:t>
            </w:r>
            <w:r w:rsidRPr="008C54B7">
              <w:rPr>
                <w:rFonts w:eastAsia="Times New Roman"/>
                <w:sz w:val="22"/>
                <w:vertAlign w:val="superscript"/>
              </w:rPr>
              <w:t>®</w:t>
            </w:r>
            <w:r w:rsidRPr="008C54B7">
              <w:rPr>
                <w:rFonts w:eastAsia="Times New Roman"/>
                <w:sz w:val="22"/>
              </w:rPr>
              <w:t> (rifaximin) 550 mg tablets are indicated for the reduction in risk of overt hepatic encephalopathy (HE) recurrence in adults and for the treatment of irritable bowel syndrome with diarrhea (IBS-D) in adults.</w:t>
            </w:r>
          </w:p>
          <w:p w14:paraId="5B17F599" w14:textId="77777777" w:rsidR="0037423B" w:rsidRPr="008C54B7" w:rsidRDefault="0037423B" w:rsidP="008C54B7">
            <w:pPr>
              <w:shd w:val="clear" w:color="auto" w:fill="FFFFFF"/>
              <w:spacing w:after="75" w:line="330" w:lineRule="atLeast"/>
              <w:ind w:left="94" w:right="106" w:firstLine="0"/>
              <w:rPr>
                <w:rFonts w:eastAsia="Times New Roman"/>
                <w:sz w:val="22"/>
              </w:rPr>
            </w:pPr>
          </w:p>
          <w:p w14:paraId="4135E592" w14:textId="77777777" w:rsidR="0037423B" w:rsidRPr="008C54B7" w:rsidRDefault="0037423B" w:rsidP="008C54B7">
            <w:pPr>
              <w:shd w:val="clear" w:color="auto" w:fill="FFFFFF"/>
              <w:spacing w:after="75" w:line="300" w:lineRule="atLeast"/>
              <w:ind w:left="94" w:right="106" w:firstLine="0"/>
              <w:outlineLvl w:val="5"/>
              <w:rPr>
                <w:rFonts w:eastAsia="Times New Roman"/>
                <w:b/>
                <w:bCs/>
                <w:sz w:val="22"/>
              </w:rPr>
            </w:pPr>
            <w:r w:rsidRPr="008C54B7">
              <w:rPr>
                <w:rFonts w:eastAsia="Times New Roman"/>
                <w:b/>
                <w:bCs/>
                <w:sz w:val="22"/>
              </w:rPr>
              <w:t>IMPORTANT SAFETY INFORMATION</w:t>
            </w:r>
          </w:p>
          <w:p w14:paraId="4BB4D699"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sz w:val="22"/>
              </w:rPr>
              <w:t>XIFAXAN is contraindicated in patients with a hypersensitivity to rifaximin, rifamycin antimicrobial agents, or any of the components in XIFAXAN. Hypersensitivity reactions have included exfoliative dermatitis, angioneurotic edema, and anaphylaxis.</w:t>
            </w:r>
          </w:p>
          <w:p w14:paraId="73998D23"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i/>
                <w:iCs/>
                <w:sz w:val="22"/>
              </w:rPr>
              <w:t>Clostridium difficile</w:t>
            </w:r>
            <w:r w:rsidRPr="008C54B7">
              <w:rPr>
                <w:rFonts w:eastAsia="Times New Roman"/>
                <w:sz w:val="22"/>
              </w:rPr>
              <w:t>-associated diarrhea (CDAD) has been reported with use of nearly all antibacterial agents, including XIFAXAN, and may range in severity from mild diarrhea to fatal colitis. If CDAD is suspected or confirmed, ongoing antibiotic use not directed against </w:t>
            </w:r>
            <w:r w:rsidRPr="008C54B7">
              <w:rPr>
                <w:rFonts w:eastAsia="Times New Roman"/>
                <w:i/>
                <w:iCs/>
                <w:sz w:val="22"/>
              </w:rPr>
              <w:t>C. difficile</w:t>
            </w:r>
            <w:r w:rsidRPr="008C54B7">
              <w:rPr>
                <w:rFonts w:eastAsia="Times New Roman"/>
                <w:sz w:val="22"/>
              </w:rPr>
              <w:t> may need to be discontinued.</w:t>
            </w:r>
          </w:p>
          <w:p w14:paraId="64C86495"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sz w:val="22"/>
              </w:rPr>
              <w:t>There is an increased systemic exposure in patients with severe (Child-Pugh Class C) hepatic impairment. Caution should be exercised when administering XIFAXAN to these patients.</w:t>
            </w:r>
          </w:p>
          <w:p w14:paraId="76C7A57B"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sz w:val="22"/>
              </w:rPr>
              <w:t>Caution should be exercised when concomitant use of XIFAXAN and P-glycoprotein (P-</w:t>
            </w:r>
            <w:proofErr w:type="spellStart"/>
            <w:r w:rsidRPr="008C54B7">
              <w:rPr>
                <w:rFonts w:eastAsia="Times New Roman"/>
                <w:sz w:val="22"/>
              </w:rPr>
              <w:t>gp</w:t>
            </w:r>
            <w:proofErr w:type="spellEnd"/>
            <w:r w:rsidRPr="008C54B7">
              <w:rPr>
                <w:rFonts w:eastAsia="Times New Roman"/>
                <w:sz w:val="22"/>
              </w:rPr>
              <w:t>) and/or OATPs inhibitors is needed. Concomitant administration of cyclosporine, an inhibitor of P-</w:t>
            </w:r>
            <w:proofErr w:type="spellStart"/>
            <w:r w:rsidRPr="008C54B7">
              <w:rPr>
                <w:rFonts w:eastAsia="Times New Roman"/>
                <w:sz w:val="22"/>
              </w:rPr>
              <w:t>gp</w:t>
            </w:r>
            <w:proofErr w:type="spellEnd"/>
            <w:r w:rsidRPr="008C54B7">
              <w:rPr>
                <w:rFonts w:eastAsia="Times New Roman"/>
                <w:sz w:val="22"/>
              </w:rPr>
              <w:t xml:space="preserve"> and OATPs, significantly increased the systemic exposure of rifaximin. In patients with hepatic impairment, a potential additive effect of reduced metabolism and concomitant P-</w:t>
            </w:r>
            <w:proofErr w:type="spellStart"/>
            <w:r w:rsidRPr="008C54B7">
              <w:rPr>
                <w:rFonts w:eastAsia="Times New Roman"/>
                <w:sz w:val="22"/>
              </w:rPr>
              <w:t>gp</w:t>
            </w:r>
            <w:proofErr w:type="spellEnd"/>
            <w:r w:rsidRPr="008C54B7">
              <w:rPr>
                <w:rFonts w:eastAsia="Times New Roman"/>
                <w:sz w:val="22"/>
              </w:rPr>
              <w:t xml:space="preserve"> inhibitors may further increase the systemic exposure to rifaximin.</w:t>
            </w:r>
          </w:p>
          <w:p w14:paraId="64245B77"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sz w:val="22"/>
              </w:rPr>
              <w:t>In clinical studies, the most common adverse reactions for XIFAXAN (alone or in combination with lactulose) were:</w:t>
            </w:r>
          </w:p>
          <w:p w14:paraId="61D5C0C4" w14:textId="77777777" w:rsidR="0037423B" w:rsidRPr="008C54B7" w:rsidRDefault="0037423B" w:rsidP="008C54B7">
            <w:pPr>
              <w:numPr>
                <w:ilvl w:val="1"/>
                <w:numId w:val="8"/>
              </w:numPr>
              <w:shd w:val="clear" w:color="auto" w:fill="FFFFFF"/>
              <w:spacing w:before="100" w:beforeAutospacing="1" w:after="100" w:afterAutospacing="1" w:line="330" w:lineRule="atLeast"/>
              <w:ind w:left="1665" w:right="106" w:hanging="225"/>
              <w:rPr>
                <w:rFonts w:eastAsia="Times New Roman"/>
                <w:sz w:val="22"/>
              </w:rPr>
            </w:pPr>
            <w:r w:rsidRPr="008C54B7">
              <w:rPr>
                <w:rFonts w:eastAsia="Times New Roman"/>
                <w:sz w:val="22"/>
              </w:rPr>
              <w:t>HE (≥10%): Peripheral edema (17%), constipation (16%), nausea (15%), fatigue (14%), insomnia (14%), ascites (13%), dizziness (13%), urinary tract infection (12%), anemia (10%), and pruritus (10%)</w:t>
            </w:r>
          </w:p>
          <w:p w14:paraId="6051058E" w14:textId="77777777" w:rsidR="0037423B" w:rsidRPr="008C54B7" w:rsidRDefault="0037423B" w:rsidP="008C54B7">
            <w:pPr>
              <w:numPr>
                <w:ilvl w:val="1"/>
                <w:numId w:val="8"/>
              </w:numPr>
              <w:shd w:val="clear" w:color="auto" w:fill="FFFFFF"/>
              <w:spacing w:before="100" w:beforeAutospacing="1" w:after="100" w:afterAutospacing="1" w:line="330" w:lineRule="atLeast"/>
              <w:ind w:left="1665" w:right="106" w:hanging="225"/>
              <w:rPr>
                <w:rFonts w:eastAsia="Times New Roman"/>
                <w:sz w:val="22"/>
              </w:rPr>
            </w:pPr>
            <w:r w:rsidRPr="008C54B7">
              <w:rPr>
                <w:rFonts w:eastAsia="Times New Roman"/>
                <w:sz w:val="22"/>
              </w:rPr>
              <w:t>IBS-D (≥2%): Nausea (3%), ALT increased (2%)</w:t>
            </w:r>
          </w:p>
          <w:p w14:paraId="1F4EF713"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sz w:val="22"/>
              </w:rPr>
              <w:t>INR changes have been reported in patients receiving rifaximin and warfarin concomitantly. Monitor INR and prothrombin time. Dose adjustment of warfarin may be required.</w:t>
            </w:r>
          </w:p>
          <w:p w14:paraId="33694941" w14:textId="77777777" w:rsidR="0037423B" w:rsidRPr="008C54B7" w:rsidRDefault="0037423B" w:rsidP="008C54B7">
            <w:pPr>
              <w:numPr>
                <w:ilvl w:val="0"/>
                <w:numId w:val="8"/>
              </w:numPr>
              <w:shd w:val="clear" w:color="auto" w:fill="FFFFFF"/>
              <w:spacing w:before="100" w:beforeAutospacing="1" w:after="100" w:afterAutospacing="1" w:line="330" w:lineRule="atLeast"/>
              <w:ind w:right="106"/>
              <w:rPr>
                <w:rFonts w:eastAsia="Times New Roman"/>
                <w:sz w:val="22"/>
              </w:rPr>
            </w:pPr>
            <w:r w:rsidRPr="008C54B7">
              <w:rPr>
                <w:rFonts w:eastAsia="Times New Roman"/>
                <w:sz w:val="22"/>
              </w:rPr>
              <w:t>XIFAXAN may cause fetal harm. Advise pregnant women of the potential risk to a fetus.</w:t>
            </w:r>
          </w:p>
          <w:p w14:paraId="692C02AD" w14:textId="77777777" w:rsidR="0037423B" w:rsidRPr="008C54B7" w:rsidRDefault="0037423B" w:rsidP="008C54B7">
            <w:pPr>
              <w:shd w:val="clear" w:color="auto" w:fill="FFFFFF"/>
              <w:spacing w:before="450" w:after="0" w:line="330" w:lineRule="atLeast"/>
              <w:ind w:left="94" w:right="106"/>
              <w:rPr>
                <w:rFonts w:eastAsia="Times New Roman"/>
                <w:sz w:val="22"/>
              </w:rPr>
            </w:pPr>
            <w:r w:rsidRPr="008C54B7">
              <w:rPr>
                <w:rFonts w:eastAsia="Times New Roman"/>
                <w:sz w:val="22"/>
              </w:rPr>
              <w:t>To report SUSPECTED ADVERSE REACTIONS, contact Salix Pharmaceuticals at </w:t>
            </w:r>
            <w:hyperlink r:id="rId10" w:history="1">
              <w:r w:rsidRPr="008C54B7">
                <w:rPr>
                  <w:rFonts w:eastAsia="Times New Roman"/>
                  <w:color w:val="1F71B4"/>
                  <w:sz w:val="22"/>
                  <w:u w:val="single"/>
                </w:rPr>
                <w:t>1-800-321-4576</w:t>
              </w:r>
            </w:hyperlink>
            <w:r w:rsidRPr="008C54B7">
              <w:rPr>
                <w:rFonts w:eastAsia="Times New Roman"/>
                <w:sz w:val="22"/>
              </w:rPr>
              <w:t> or FDA at </w:t>
            </w:r>
            <w:hyperlink r:id="rId11" w:history="1">
              <w:r w:rsidRPr="008C54B7">
                <w:rPr>
                  <w:rFonts w:eastAsia="Times New Roman"/>
                  <w:color w:val="1F71B4"/>
                  <w:sz w:val="22"/>
                  <w:u w:val="single"/>
                </w:rPr>
                <w:t>1-800-FDA-1088</w:t>
              </w:r>
            </w:hyperlink>
            <w:r w:rsidRPr="008C54B7">
              <w:rPr>
                <w:rFonts w:eastAsia="Times New Roman"/>
                <w:sz w:val="22"/>
              </w:rPr>
              <w:t> or www.fda.gov/medwatch.</w:t>
            </w:r>
          </w:p>
          <w:p w14:paraId="44945705" w14:textId="26370F35" w:rsidR="008C54B7" w:rsidRPr="008C54B7" w:rsidRDefault="0037423B" w:rsidP="008C54B7">
            <w:pPr>
              <w:shd w:val="clear" w:color="auto" w:fill="FFFFFF"/>
              <w:spacing w:before="450" w:after="0" w:line="330" w:lineRule="atLeast"/>
              <w:ind w:left="94" w:right="106"/>
              <w:rPr>
                <w:rFonts w:eastAsia="Times New Roman"/>
                <w:b/>
                <w:bCs/>
                <w:sz w:val="22"/>
              </w:rPr>
            </w:pPr>
            <w:r w:rsidRPr="008C54B7">
              <w:rPr>
                <w:rFonts w:eastAsia="Times New Roman"/>
                <w:b/>
                <w:bCs/>
                <w:sz w:val="22"/>
              </w:rPr>
              <w:t>Please </w:t>
            </w:r>
            <w:hyperlink r:id="rId12" w:tgtFrame="_blank" w:history="1">
              <w:r w:rsidRPr="008C54B7">
                <w:rPr>
                  <w:rFonts w:eastAsia="Times New Roman"/>
                  <w:color w:val="1F71B4"/>
                  <w:sz w:val="22"/>
                  <w:u w:val="single"/>
                </w:rPr>
                <w:t>click here</w:t>
              </w:r>
            </w:hyperlink>
            <w:r w:rsidRPr="008C54B7">
              <w:rPr>
                <w:rFonts w:eastAsia="Times New Roman"/>
                <w:b/>
                <w:bCs/>
                <w:sz w:val="22"/>
              </w:rPr>
              <w:t> for full Prescribing Information.</w:t>
            </w:r>
            <w:r w:rsidR="008C54B7">
              <w:rPr>
                <w:rFonts w:eastAsia="Times New Roman"/>
                <w:b/>
                <w:bCs/>
                <w:sz w:val="22"/>
              </w:rPr>
              <w:br/>
            </w:r>
          </w:p>
        </w:tc>
      </w:tr>
    </w:tbl>
    <w:p w14:paraId="703EC2D5" w14:textId="7F83A2F5" w:rsidR="008E1E50" w:rsidRPr="008C54B7" w:rsidRDefault="000E2C97" w:rsidP="008E1E50">
      <w:pPr>
        <w:ind w:left="0" w:firstLine="0"/>
        <w:rPr>
          <w:sz w:val="20"/>
          <w:szCs w:val="20"/>
        </w:rPr>
      </w:pPr>
      <w:r w:rsidRPr="008C54B7">
        <w:rPr>
          <w:sz w:val="20"/>
          <w:szCs w:val="20"/>
        </w:rPr>
        <w:t>Xifaxan</w:t>
      </w:r>
      <w:r w:rsidR="009A13F4" w:rsidRPr="008C54B7">
        <w:rPr>
          <w:sz w:val="20"/>
          <w:szCs w:val="20"/>
        </w:rPr>
        <w:t xml:space="preserve"> is a trademark of Salix Pharmaceuticals or its affiliates. </w:t>
      </w:r>
    </w:p>
    <w:p w14:paraId="6A09708D" w14:textId="3F991EC8" w:rsidR="009A13F4" w:rsidRPr="008C54B7" w:rsidRDefault="009A13F4" w:rsidP="008E1E50">
      <w:pPr>
        <w:ind w:left="0" w:firstLine="0"/>
        <w:rPr>
          <w:sz w:val="20"/>
          <w:szCs w:val="20"/>
        </w:rPr>
      </w:pPr>
      <w:r w:rsidRPr="008C54B7">
        <w:rPr>
          <w:sz w:val="20"/>
          <w:szCs w:val="20"/>
        </w:rPr>
        <w:t xml:space="preserve">All other trademarks are the property of their respective owners. </w:t>
      </w:r>
    </w:p>
    <w:p w14:paraId="57671F87" w14:textId="1A77C89B" w:rsidR="001F459F" w:rsidRPr="008C54B7" w:rsidRDefault="009A13F4" w:rsidP="00E059D2">
      <w:pPr>
        <w:spacing w:after="0" w:line="259" w:lineRule="auto"/>
        <w:ind w:left="0" w:firstLine="0"/>
        <w:jc w:val="both"/>
        <w:rPr>
          <w:sz w:val="20"/>
          <w:szCs w:val="20"/>
        </w:rPr>
      </w:pPr>
      <w:r w:rsidRPr="008C54B7">
        <w:rPr>
          <w:sz w:val="20"/>
          <w:szCs w:val="20"/>
        </w:rPr>
        <w:t>© 2025 Salix Pharmaceuticals or its affiliates.</w:t>
      </w:r>
      <w:r w:rsidR="00E059D2" w:rsidRPr="008C54B7">
        <w:rPr>
          <w:sz w:val="20"/>
          <w:szCs w:val="20"/>
        </w:rPr>
        <w:tab/>
      </w:r>
      <w:r w:rsidR="00E059D2" w:rsidRPr="008C54B7">
        <w:rPr>
          <w:sz w:val="20"/>
          <w:szCs w:val="20"/>
        </w:rPr>
        <w:tab/>
      </w:r>
      <w:r w:rsidR="00E059D2" w:rsidRPr="008C54B7">
        <w:rPr>
          <w:sz w:val="20"/>
          <w:szCs w:val="20"/>
        </w:rPr>
        <w:tab/>
      </w:r>
      <w:r w:rsidR="00E059D2" w:rsidRPr="008C54B7">
        <w:rPr>
          <w:sz w:val="20"/>
          <w:szCs w:val="20"/>
        </w:rPr>
        <w:tab/>
      </w:r>
      <w:r w:rsidR="00E059D2" w:rsidRPr="008C54B7">
        <w:rPr>
          <w:sz w:val="20"/>
          <w:szCs w:val="20"/>
        </w:rPr>
        <w:tab/>
      </w:r>
      <w:r w:rsidR="00E059D2" w:rsidRPr="008C54B7">
        <w:rPr>
          <w:sz w:val="20"/>
          <w:szCs w:val="20"/>
        </w:rPr>
        <w:tab/>
      </w:r>
      <w:r w:rsidR="00606519" w:rsidRPr="008C54B7">
        <w:rPr>
          <w:sz w:val="20"/>
          <w:szCs w:val="20"/>
        </w:rPr>
        <w:t>XIF</w:t>
      </w:r>
      <w:r w:rsidR="00126EFB" w:rsidRPr="008C54B7">
        <w:rPr>
          <w:sz w:val="20"/>
          <w:szCs w:val="20"/>
        </w:rPr>
        <w:t>.</w:t>
      </w:r>
      <w:r w:rsidR="00D708D5" w:rsidRPr="008C54B7">
        <w:rPr>
          <w:sz w:val="20"/>
          <w:szCs w:val="20"/>
        </w:rPr>
        <w:t>0</w:t>
      </w:r>
      <w:r w:rsidR="00606519" w:rsidRPr="008C54B7">
        <w:rPr>
          <w:sz w:val="20"/>
          <w:szCs w:val="20"/>
        </w:rPr>
        <w:t>190</w:t>
      </w:r>
      <w:r w:rsidR="00126EFB" w:rsidRPr="008C54B7">
        <w:rPr>
          <w:sz w:val="20"/>
          <w:szCs w:val="20"/>
        </w:rPr>
        <w:t>.USA.</w:t>
      </w:r>
      <w:r w:rsidR="00606519" w:rsidRPr="008C54B7">
        <w:rPr>
          <w:sz w:val="20"/>
          <w:szCs w:val="20"/>
        </w:rPr>
        <w:t>19</w:t>
      </w:r>
      <w:r w:rsidR="00126EFB" w:rsidRPr="008C54B7">
        <w:rPr>
          <w:sz w:val="20"/>
          <w:szCs w:val="20"/>
        </w:rPr>
        <w:t>V</w:t>
      </w:r>
      <w:r w:rsidR="00642545">
        <w:rPr>
          <w:sz w:val="20"/>
          <w:szCs w:val="20"/>
        </w:rPr>
        <w:t>3</w:t>
      </w:r>
      <w:r w:rsidR="00126EFB" w:rsidRPr="008C54B7">
        <w:rPr>
          <w:sz w:val="20"/>
          <w:szCs w:val="20"/>
        </w:rPr>
        <w:t>.0</w:t>
      </w:r>
      <w:r w:rsidR="006E37C4" w:rsidRPr="008C54B7">
        <w:rPr>
          <w:sz w:val="20"/>
          <w:szCs w:val="20"/>
        </w:rPr>
        <w:t xml:space="preserve"> </w:t>
      </w:r>
    </w:p>
    <w:sectPr w:rsidR="001F459F" w:rsidRPr="008C54B7">
      <w:pgSz w:w="12240" w:h="15840"/>
      <w:pgMar w:top="841" w:right="673" w:bottom="4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373E7"/>
    <w:multiLevelType w:val="multilevel"/>
    <w:tmpl w:val="542E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45D7D"/>
    <w:multiLevelType w:val="hybridMultilevel"/>
    <w:tmpl w:val="99DC36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40900"/>
    <w:multiLevelType w:val="hybridMultilevel"/>
    <w:tmpl w:val="857A3126"/>
    <w:lvl w:ilvl="0" w:tplc="7F7C35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790612">
    <w:abstractNumId w:val="0"/>
  </w:num>
  <w:num w:numId="2" w16cid:durableId="167865155">
    <w:abstractNumId w:val="3"/>
  </w:num>
  <w:num w:numId="3" w16cid:durableId="1739522289">
    <w:abstractNumId w:val="5"/>
  </w:num>
  <w:num w:numId="4" w16cid:durableId="2101245672">
    <w:abstractNumId w:val="1"/>
  </w:num>
  <w:num w:numId="5" w16cid:durableId="27797308">
    <w:abstractNumId w:val="6"/>
  </w:num>
  <w:num w:numId="6" w16cid:durableId="1324236979">
    <w:abstractNumId w:val="7"/>
  </w:num>
  <w:num w:numId="7" w16cid:durableId="1795057498">
    <w:abstractNumId w:val="4"/>
  </w:num>
  <w:num w:numId="8" w16cid:durableId="44762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9F"/>
    <w:rsid w:val="00026089"/>
    <w:rsid w:val="00034CBF"/>
    <w:rsid w:val="00035075"/>
    <w:rsid w:val="0003672C"/>
    <w:rsid w:val="000369AC"/>
    <w:rsid w:val="0003726A"/>
    <w:rsid w:val="00037E36"/>
    <w:rsid w:val="00041660"/>
    <w:rsid w:val="000462CB"/>
    <w:rsid w:val="000546E5"/>
    <w:rsid w:val="00060305"/>
    <w:rsid w:val="00060DBE"/>
    <w:rsid w:val="00061A7A"/>
    <w:rsid w:val="0006529A"/>
    <w:rsid w:val="000659B3"/>
    <w:rsid w:val="00070441"/>
    <w:rsid w:val="00093395"/>
    <w:rsid w:val="000958FF"/>
    <w:rsid w:val="00095E20"/>
    <w:rsid w:val="00096BED"/>
    <w:rsid w:val="00097E5A"/>
    <w:rsid w:val="000A084A"/>
    <w:rsid w:val="000A166A"/>
    <w:rsid w:val="000A2A4B"/>
    <w:rsid w:val="000B1626"/>
    <w:rsid w:val="000B5EE1"/>
    <w:rsid w:val="000D52C2"/>
    <w:rsid w:val="000D61AA"/>
    <w:rsid w:val="000E1056"/>
    <w:rsid w:val="000E24BA"/>
    <w:rsid w:val="000E2C97"/>
    <w:rsid w:val="000E3B26"/>
    <w:rsid w:val="000E5ECE"/>
    <w:rsid w:val="000E6543"/>
    <w:rsid w:val="000F5F63"/>
    <w:rsid w:val="00102460"/>
    <w:rsid w:val="00106F7A"/>
    <w:rsid w:val="00126EFB"/>
    <w:rsid w:val="00144456"/>
    <w:rsid w:val="00174D49"/>
    <w:rsid w:val="00180018"/>
    <w:rsid w:val="00191179"/>
    <w:rsid w:val="00193DB4"/>
    <w:rsid w:val="00195B9A"/>
    <w:rsid w:val="00195C92"/>
    <w:rsid w:val="001A4C30"/>
    <w:rsid w:val="001A57B3"/>
    <w:rsid w:val="001B3AD1"/>
    <w:rsid w:val="001C1731"/>
    <w:rsid w:val="001D4833"/>
    <w:rsid w:val="001D509A"/>
    <w:rsid w:val="001F2B3C"/>
    <w:rsid w:val="001F459F"/>
    <w:rsid w:val="00200D96"/>
    <w:rsid w:val="00201551"/>
    <w:rsid w:val="0020684D"/>
    <w:rsid w:val="00213773"/>
    <w:rsid w:val="00225967"/>
    <w:rsid w:val="00232FA1"/>
    <w:rsid w:val="002429E4"/>
    <w:rsid w:val="002512E9"/>
    <w:rsid w:val="002604D0"/>
    <w:rsid w:val="00260954"/>
    <w:rsid w:val="00262D5C"/>
    <w:rsid w:val="0026731E"/>
    <w:rsid w:val="002766C3"/>
    <w:rsid w:val="00280A2E"/>
    <w:rsid w:val="0029595A"/>
    <w:rsid w:val="002C2828"/>
    <w:rsid w:val="002D57EC"/>
    <w:rsid w:val="002D7601"/>
    <w:rsid w:val="002F35DF"/>
    <w:rsid w:val="00305BD1"/>
    <w:rsid w:val="00306748"/>
    <w:rsid w:val="00306B57"/>
    <w:rsid w:val="0030733F"/>
    <w:rsid w:val="00315924"/>
    <w:rsid w:val="0032625C"/>
    <w:rsid w:val="00327DC0"/>
    <w:rsid w:val="00332BA6"/>
    <w:rsid w:val="00336194"/>
    <w:rsid w:val="003361CA"/>
    <w:rsid w:val="003454DF"/>
    <w:rsid w:val="0037423B"/>
    <w:rsid w:val="003801CC"/>
    <w:rsid w:val="003903A5"/>
    <w:rsid w:val="0039546A"/>
    <w:rsid w:val="003A12EB"/>
    <w:rsid w:val="003A1AB6"/>
    <w:rsid w:val="003A2A63"/>
    <w:rsid w:val="003A57F5"/>
    <w:rsid w:val="003A5F11"/>
    <w:rsid w:val="003B1151"/>
    <w:rsid w:val="003B3276"/>
    <w:rsid w:val="003B523F"/>
    <w:rsid w:val="003D17A3"/>
    <w:rsid w:val="003D26B8"/>
    <w:rsid w:val="003E64C6"/>
    <w:rsid w:val="003F0D44"/>
    <w:rsid w:val="00405AB5"/>
    <w:rsid w:val="00406B8D"/>
    <w:rsid w:val="004111EC"/>
    <w:rsid w:val="00412BC5"/>
    <w:rsid w:val="00415739"/>
    <w:rsid w:val="004215F1"/>
    <w:rsid w:val="00436A5C"/>
    <w:rsid w:val="00444DEA"/>
    <w:rsid w:val="00444E0E"/>
    <w:rsid w:val="00451A78"/>
    <w:rsid w:val="00455B23"/>
    <w:rsid w:val="00465B19"/>
    <w:rsid w:val="00477297"/>
    <w:rsid w:val="00480439"/>
    <w:rsid w:val="00483E28"/>
    <w:rsid w:val="004864E0"/>
    <w:rsid w:val="00497111"/>
    <w:rsid w:val="004A4D93"/>
    <w:rsid w:val="004B3E05"/>
    <w:rsid w:val="004C157A"/>
    <w:rsid w:val="004C4AF7"/>
    <w:rsid w:val="004C7E14"/>
    <w:rsid w:val="004F06EB"/>
    <w:rsid w:val="00504988"/>
    <w:rsid w:val="005075A6"/>
    <w:rsid w:val="0051656D"/>
    <w:rsid w:val="00530720"/>
    <w:rsid w:val="00554255"/>
    <w:rsid w:val="00560BC6"/>
    <w:rsid w:val="00561D6F"/>
    <w:rsid w:val="00571DB3"/>
    <w:rsid w:val="005722C0"/>
    <w:rsid w:val="00572BFD"/>
    <w:rsid w:val="0058510E"/>
    <w:rsid w:val="00590595"/>
    <w:rsid w:val="005919DF"/>
    <w:rsid w:val="005A1DC8"/>
    <w:rsid w:val="005A51AA"/>
    <w:rsid w:val="005A6B91"/>
    <w:rsid w:val="005B0A70"/>
    <w:rsid w:val="005B5A80"/>
    <w:rsid w:val="005B6509"/>
    <w:rsid w:val="005D534B"/>
    <w:rsid w:val="005E4EC3"/>
    <w:rsid w:val="005F03ED"/>
    <w:rsid w:val="005F3C4A"/>
    <w:rsid w:val="00606519"/>
    <w:rsid w:val="0061346C"/>
    <w:rsid w:val="00613947"/>
    <w:rsid w:val="00615602"/>
    <w:rsid w:val="006242A9"/>
    <w:rsid w:val="0063259C"/>
    <w:rsid w:val="0063326D"/>
    <w:rsid w:val="00642545"/>
    <w:rsid w:val="00650AA4"/>
    <w:rsid w:val="00654E14"/>
    <w:rsid w:val="006567B5"/>
    <w:rsid w:val="0066052C"/>
    <w:rsid w:val="00662E45"/>
    <w:rsid w:val="00691995"/>
    <w:rsid w:val="006A0AFD"/>
    <w:rsid w:val="006A5B9C"/>
    <w:rsid w:val="006A68FC"/>
    <w:rsid w:val="006A783A"/>
    <w:rsid w:val="006B65AC"/>
    <w:rsid w:val="006B7E1B"/>
    <w:rsid w:val="006E37C4"/>
    <w:rsid w:val="006E4E40"/>
    <w:rsid w:val="006E6030"/>
    <w:rsid w:val="006E6E21"/>
    <w:rsid w:val="006F1829"/>
    <w:rsid w:val="006F5CD8"/>
    <w:rsid w:val="00702357"/>
    <w:rsid w:val="0070263E"/>
    <w:rsid w:val="007104DF"/>
    <w:rsid w:val="0071125A"/>
    <w:rsid w:val="0071675E"/>
    <w:rsid w:val="007234D3"/>
    <w:rsid w:val="00735261"/>
    <w:rsid w:val="0074657C"/>
    <w:rsid w:val="00767F6E"/>
    <w:rsid w:val="0077610F"/>
    <w:rsid w:val="0078162E"/>
    <w:rsid w:val="00781E75"/>
    <w:rsid w:val="007B7D48"/>
    <w:rsid w:val="007C2961"/>
    <w:rsid w:val="007D711C"/>
    <w:rsid w:val="007E660F"/>
    <w:rsid w:val="007F299E"/>
    <w:rsid w:val="007F42E7"/>
    <w:rsid w:val="00804A99"/>
    <w:rsid w:val="0081169A"/>
    <w:rsid w:val="00816A5E"/>
    <w:rsid w:val="008175A6"/>
    <w:rsid w:val="00820A4F"/>
    <w:rsid w:val="00822282"/>
    <w:rsid w:val="00853069"/>
    <w:rsid w:val="00853D08"/>
    <w:rsid w:val="00855360"/>
    <w:rsid w:val="0086104E"/>
    <w:rsid w:val="008810A6"/>
    <w:rsid w:val="00883A32"/>
    <w:rsid w:val="00896593"/>
    <w:rsid w:val="008A502E"/>
    <w:rsid w:val="008A73FC"/>
    <w:rsid w:val="008A7560"/>
    <w:rsid w:val="008B4A23"/>
    <w:rsid w:val="008B4D43"/>
    <w:rsid w:val="008B56D6"/>
    <w:rsid w:val="008C54B7"/>
    <w:rsid w:val="008D1248"/>
    <w:rsid w:val="008E1BD6"/>
    <w:rsid w:val="008E1E50"/>
    <w:rsid w:val="008E44CF"/>
    <w:rsid w:val="008E5032"/>
    <w:rsid w:val="009056AD"/>
    <w:rsid w:val="0090598A"/>
    <w:rsid w:val="00906169"/>
    <w:rsid w:val="009127C7"/>
    <w:rsid w:val="0092036D"/>
    <w:rsid w:val="009260A9"/>
    <w:rsid w:val="0092644E"/>
    <w:rsid w:val="0093175A"/>
    <w:rsid w:val="00945E59"/>
    <w:rsid w:val="00946A96"/>
    <w:rsid w:val="0094761A"/>
    <w:rsid w:val="009901C2"/>
    <w:rsid w:val="009970AE"/>
    <w:rsid w:val="00997596"/>
    <w:rsid w:val="009A13F4"/>
    <w:rsid w:val="009A6CEB"/>
    <w:rsid w:val="009A6DE8"/>
    <w:rsid w:val="009A7997"/>
    <w:rsid w:val="009B0080"/>
    <w:rsid w:val="009C480F"/>
    <w:rsid w:val="009E2EBC"/>
    <w:rsid w:val="00A0296C"/>
    <w:rsid w:val="00A042D2"/>
    <w:rsid w:val="00A107D7"/>
    <w:rsid w:val="00A15832"/>
    <w:rsid w:val="00A31E2E"/>
    <w:rsid w:val="00A40EA1"/>
    <w:rsid w:val="00A43F1C"/>
    <w:rsid w:val="00A46C74"/>
    <w:rsid w:val="00A5005D"/>
    <w:rsid w:val="00A55AC6"/>
    <w:rsid w:val="00A64E94"/>
    <w:rsid w:val="00A66758"/>
    <w:rsid w:val="00A703F4"/>
    <w:rsid w:val="00A71F8A"/>
    <w:rsid w:val="00A85BF2"/>
    <w:rsid w:val="00AA0343"/>
    <w:rsid w:val="00AA45A2"/>
    <w:rsid w:val="00AA5155"/>
    <w:rsid w:val="00AB3EFA"/>
    <w:rsid w:val="00AB43A6"/>
    <w:rsid w:val="00AC0D36"/>
    <w:rsid w:val="00AC2485"/>
    <w:rsid w:val="00AD029F"/>
    <w:rsid w:val="00AD22B9"/>
    <w:rsid w:val="00AE4525"/>
    <w:rsid w:val="00AE5F06"/>
    <w:rsid w:val="00AF0FE2"/>
    <w:rsid w:val="00AF1AE6"/>
    <w:rsid w:val="00AF41A5"/>
    <w:rsid w:val="00B25523"/>
    <w:rsid w:val="00B2553E"/>
    <w:rsid w:val="00B314DE"/>
    <w:rsid w:val="00B31B5B"/>
    <w:rsid w:val="00B405B8"/>
    <w:rsid w:val="00B45EA2"/>
    <w:rsid w:val="00B5132D"/>
    <w:rsid w:val="00B536CE"/>
    <w:rsid w:val="00B552D9"/>
    <w:rsid w:val="00B62915"/>
    <w:rsid w:val="00B668AF"/>
    <w:rsid w:val="00B67E19"/>
    <w:rsid w:val="00B73B57"/>
    <w:rsid w:val="00B75815"/>
    <w:rsid w:val="00B77E01"/>
    <w:rsid w:val="00B80137"/>
    <w:rsid w:val="00B80A2E"/>
    <w:rsid w:val="00B8234F"/>
    <w:rsid w:val="00B86183"/>
    <w:rsid w:val="00B90952"/>
    <w:rsid w:val="00B96C4B"/>
    <w:rsid w:val="00BA084E"/>
    <w:rsid w:val="00BA6A1A"/>
    <w:rsid w:val="00BB2799"/>
    <w:rsid w:val="00BB475A"/>
    <w:rsid w:val="00BC05EC"/>
    <w:rsid w:val="00BC4AE9"/>
    <w:rsid w:val="00BC65ED"/>
    <w:rsid w:val="00BD1059"/>
    <w:rsid w:val="00BE2C5D"/>
    <w:rsid w:val="00C02593"/>
    <w:rsid w:val="00C05262"/>
    <w:rsid w:val="00C11675"/>
    <w:rsid w:val="00C15812"/>
    <w:rsid w:val="00C23AAB"/>
    <w:rsid w:val="00C27E9B"/>
    <w:rsid w:val="00C67F51"/>
    <w:rsid w:val="00C7006B"/>
    <w:rsid w:val="00C759EB"/>
    <w:rsid w:val="00C86659"/>
    <w:rsid w:val="00C93069"/>
    <w:rsid w:val="00CA4F8C"/>
    <w:rsid w:val="00CA5ABF"/>
    <w:rsid w:val="00CB3E39"/>
    <w:rsid w:val="00CC67EF"/>
    <w:rsid w:val="00CD01EF"/>
    <w:rsid w:val="00CE31CC"/>
    <w:rsid w:val="00CE62A9"/>
    <w:rsid w:val="00D05DCB"/>
    <w:rsid w:val="00D1261D"/>
    <w:rsid w:val="00D12D5F"/>
    <w:rsid w:val="00D13A30"/>
    <w:rsid w:val="00D13B75"/>
    <w:rsid w:val="00D15ED6"/>
    <w:rsid w:val="00D17D16"/>
    <w:rsid w:val="00D33FA6"/>
    <w:rsid w:val="00D41331"/>
    <w:rsid w:val="00D60F06"/>
    <w:rsid w:val="00D6257D"/>
    <w:rsid w:val="00D62B7C"/>
    <w:rsid w:val="00D708D5"/>
    <w:rsid w:val="00D77F69"/>
    <w:rsid w:val="00D8479C"/>
    <w:rsid w:val="00D85138"/>
    <w:rsid w:val="00D964BD"/>
    <w:rsid w:val="00D97574"/>
    <w:rsid w:val="00DA5C36"/>
    <w:rsid w:val="00DB611F"/>
    <w:rsid w:val="00DB707E"/>
    <w:rsid w:val="00DC13AD"/>
    <w:rsid w:val="00DC2644"/>
    <w:rsid w:val="00DD3CE0"/>
    <w:rsid w:val="00DF2DA8"/>
    <w:rsid w:val="00DF6888"/>
    <w:rsid w:val="00E0166F"/>
    <w:rsid w:val="00E059D2"/>
    <w:rsid w:val="00E10A80"/>
    <w:rsid w:val="00E17F79"/>
    <w:rsid w:val="00E304C6"/>
    <w:rsid w:val="00E3306A"/>
    <w:rsid w:val="00E44A5D"/>
    <w:rsid w:val="00E57D89"/>
    <w:rsid w:val="00E60CF1"/>
    <w:rsid w:val="00E61119"/>
    <w:rsid w:val="00E617D9"/>
    <w:rsid w:val="00E6791D"/>
    <w:rsid w:val="00E67F24"/>
    <w:rsid w:val="00E70E06"/>
    <w:rsid w:val="00E717EF"/>
    <w:rsid w:val="00E722B6"/>
    <w:rsid w:val="00E84FCD"/>
    <w:rsid w:val="00EA1969"/>
    <w:rsid w:val="00EA1F40"/>
    <w:rsid w:val="00EA51B8"/>
    <w:rsid w:val="00EB6301"/>
    <w:rsid w:val="00EC0310"/>
    <w:rsid w:val="00EC4D8A"/>
    <w:rsid w:val="00EC5E20"/>
    <w:rsid w:val="00ED0842"/>
    <w:rsid w:val="00EF6A24"/>
    <w:rsid w:val="00F03C9A"/>
    <w:rsid w:val="00F05A53"/>
    <w:rsid w:val="00F07770"/>
    <w:rsid w:val="00F124D3"/>
    <w:rsid w:val="00F21702"/>
    <w:rsid w:val="00F26646"/>
    <w:rsid w:val="00F3436B"/>
    <w:rsid w:val="00F476CA"/>
    <w:rsid w:val="00F651AC"/>
    <w:rsid w:val="00F67C07"/>
    <w:rsid w:val="00F773B3"/>
    <w:rsid w:val="00F8799B"/>
    <w:rsid w:val="00F92422"/>
    <w:rsid w:val="00F970C5"/>
    <w:rsid w:val="00FA44D6"/>
    <w:rsid w:val="00FC5777"/>
    <w:rsid w:val="00FD0BE2"/>
    <w:rsid w:val="00FD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D6A"/>
  <w15:docId w15:val="{2FC0F113-3446-4EDC-B272-C4B3590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hd w:val="clear" w:color="auto" w:fill="A7A8A8"/>
      <w:spacing w:after="50"/>
      <w:ind w:left="56"/>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F6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5B9A"/>
    <w:pPr>
      <w:ind w:left="720"/>
      <w:contextualSpacing/>
    </w:pPr>
  </w:style>
  <w:style w:type="paragraph" w:customStyle="1" w:styleId="BOLDTEXT">
    <w:name w:val="BOLD TEXT"/>
    <w:basedOn w:val="Normal"/>
    <w:link w:val="BOLDTEXTChar"/>
    <w:qFormat/>
    <w:rsid w:val="00560BC6"/>
    <w:pPr>
      <w:widowControl w:val="0"/>
      <w:tabs>
        <w:tab w:val="left" w:pos="1040"/>
      </w:tabs>
      <w:suppressAutoHyphens/>
      <w:autoSpaceDE w:val="0"/>
      <w:autoSpaceDN w:val="0"/>
      <w:adjustRightInd w:val="0"/>
      <w:spacing w:before="120" w:after="0" w:line="240" w:lineRule="auto"/>
      <w:ind w:left="0" w:right="-245" w:firstLine="0"/>
      <w:textAlignment w:val="center"/>
    </w:pPr>
    <w:rPr>
      <w:rFonts w:eastAsia="Calibri"/>
      <w:b/>
      <w:bCs/>
      <w:kern w:val="0"/>
      <w:sz w:val="20"/>
      <w:szCs w:val="18"/>
      <w14:ligatures w14:val="none"/>
    </w:rPr>
  </w:style>
  <w:style w:type="character" w:customStyle="1" w:styleId="BOLDTEXTChar">
    <w:name w:val="BOLD TEXT Char"/>
    <w:link w:val="BOLDTEXT"/>
    <w:rsid w:val="00560BC6"/>
    <w:rPr>
      <w:rFonts w:ascii="Arial" w:eastAsia="Calibri" w:hAnsi="Arial" w:cs="Arial"/>
      <w:b/>
      <w:bCs/>
      <w:color w:val="000000"/>
      <w:kern w:val="0"/>
      <w:sz w:val="20"/>
      <w:szCs w:val="18"/>
      <w14:ligatures w14:val="none"/>
    </w:rPr>
  </w:style>
  <w:style w:type="character" w:styleId="CommentReference">
    <w:name w:val="annotation reference"/>
    <w:basedOn w:val="DefaultParagraphFont"/>
    <w:uiPriority w:val="99"/>
    <w:semiHidden/>
    <w:unhideWhenUsed/>
    <w:rsid w:val="00E10A80"/>
    <w:rPr>
      <w:sz w:val="16"/>
      <w:szCs w:val="16"/>
    </w:rPr>
  </w:style>
  <w:style w:type="paragraph" w:styleId="CommentText">
    <w:name w:val="annotation text"/>
    <w:basedOn w:val="Normal"/>
    <w:link w:val="CommentTextChar"/>
    <w:uiPriority w:val="99"/>
    <w:unhideWhenUsed/>
    <w:rsid w:val="00E10A80"/>
    <w:pPr>
      <w:spacing w:line="240" w:lineRule="auto"/>
    </w:pPr>
    <w:rPr>
      <w:sz w:val="20"/>
      <w:szCs w:val="20"/>
    </w:rPr>
  </w:style>
  <w:style w:type="character" w:customStyle="1" w:styleId="CommentTextChar">
    <w:name w:val="Comment Text Char"/>
    <w:basedOn w:val="DefaultParagraphFont"/>
    <w:link w:val="CommentText"/>
    <w:uiPriority w:val="99"/>
    <w:rsid w:val="00E10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0A80"/>
    <w:rPr>
      <w:b/>
      <w:bCs/>
    </w:rPr>
  </w:style>
  <w:style w:type="character" w:customStyle="1" w:styleId="CommentSubjectChar">
    <w:name w:val="Comment Subject Char"/>
    <w:basedOn w:val="CommentTextChar"/>
    <w:link w:val="CommentSubject"/>
    <w:uiPriority w:val="99"/>
    <w:semiHidden/>
    <w:rsid w:val="00E10A80"/>
    <w:rPr>
      <w:rFonts w:ascii="Arial" w:eastAsia="Arial" w:hAnsi="Arial" w:cs="Arial"/>
      <w:b/>
      <w:bCs/>
      <w:color w:val="000000"/>
      <w:sz w:val="20"/>
      <w:szCs w:val="20"/>
    </w:rPr>
  </w:style>
  <w:style w:type="paragraph" w:styleId="Revision">
    <w:name w:val="Revision"/>
    <w:hidden/>
    <w:uiPriority w:val="99"/>
    <w:semiHidden/>
    <w:rsid w:val="00F67C07"/>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semiHidden/>
    <w:rsid w:val="00F67C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A5C36"/>
    <w:rPr>
      <w:color w:val="0563C1" w:themeColor="hyperlink"/>
      <w:u w:val="single"/>
    </w:rPr>
  </w:style>
  <w:style w:type="character" w:styleId="UnresolvedMention">
    <w:name w:val="Unresolved Mention"/>
    <w:basedOn w:val="DefaultParagraphFont"/>
    <w:uiPriority w:val="99"/>
    <w:semiHidden/>
    <w:unhideWhenUsed/>
    <w:rsid w:val="00DA5C36"/>
    <w:rPr>
      <w:color w:val="605E5C"/>
      <w:shd w:val="clear" w:color="auto" w:fill="E1DFDD"/>
    </w:rPr>
  </w:style>
  <w:style w:type="table" w:styleId="TableGrid0">
    <w:name w:val="Table Grid"/>
    <w:basedOn w:val="TableNormal"/>
    <w:uiPriority w:val="39"/>
    <w:rsid w:val="003A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7E9B"/>
    <w:pPr>
      <w:widowControl w:val="0"/>
      <w:autoSpaceDE w:val="0"/>
      <w:autoSpaceDN w:val="0"/>
      <w:spacing w:after="0" w:line="240" w:lineRule="auto"/>
      <w:ind w:left="0" w:firstLine="0"/>
    </w:pPr>
    <w:rPr>
      <w:color w:val="auto"/>
      <w:kern w:val="0"/>
      <w:szCs w:val="24"/>
      <w14:ligatures w14:val="none"/>
    </w:rPr>
  </w:style>
  <w:style w:type="character" w:customStyle="1" w:styleId="BodyTextChar">
    <w:name w:val="Body Text Char"/>
    <w:basedOn w:val="DefaultParagraphFont"/>
    <w:link w:val="BodyText"/>
    <w:uiPriority w:val="1"/>
    <w:rsid w:val="00C27E9B"/>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D70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6419">
      <w:bodyDiv w:val="1"/>
      <w:marLeft w:val="0"/>
      <w:marRight w:val="0"/>
      <w:marTop w:val="0"/>
      <w:marBottom w:val="0"/>
      <w:divBdr>
        <w:top w:val="none" w:sz="0" w:space="0" w:color="auto"/>
        <w:left w:val="none" w:sz="0" w:space="0" w:color="auto"/>
        <w:bottom w:val="none" w:sz="0" w:space="0" w:color="auto"/>
        <w:right w:val="none" w:sz="0" w:space="0" w:color="auto"/>
      </w:divBdr>
    </w:div>
    <w:div w:id="736585881">
      <w:bodyDiv w:val="1"/>
      <w:marLeft w:val="0"/>
      <w:marRight w:val="0"/>
      <w:marTop w:val="0"/>
      <w:marBottom w:val="0"/>
      <w:divBdr>
        <w:top w:val="none" w:sz="0" w:space="0" w:color="auto"/>
        <w:left w:val="none" w:sz="0" w:space="0" w:color="auto"/>
        <w:bottom w:val="none" w:sz="0" w:space="0" w:color="auto"/>
        <w:right w:val="none" w:sz="0" w:space="0" w:color="auto"/>
      </w:divBdr>
      <w:divsChild>
        <w:div w:id="950551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xifaxan.com/hc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ared.salix.com/shared/pi/xifaxan550-p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800-FDA-1088" TargetMode="External"/><Relationship Id="rId5" Type="http://schemas.openxmlformats.org/officeDocument/2006/relationships/styles" Target="styles.xml"/><Relationship Id="rId10" Type="http://schemas.openxmlformats.org/officeDocument/2006/relationships/hyperlink" Target="tel:1-800-321-4576" TargetMode="External"/><Relationship Id="rId4" Type="http://schemas.openxmlformats.org/officeDocument/2006/relationships/numbering" Target="numbering.xml"/><Relationship Id="rId9" Type="http://schemas.openxmlformats.org/officeDocument/2006/relationships/hyperlink" Target="http://www.steptherap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cea59b4-b6f5-4c5d-9372-edc5292fe6a7"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7C27299C72541B4F4384CC66327B3" ma:contentTypeVersion="21" ma:contentTypeDescription="Create a new document." ma:contentTypeScope="" ma:versionID="bfeef640053e9acce5fdb35cd45bbbdb">
  <xsd:schema xmlns:xsd="http://www.w3.org/2001/XMLSchema" xmlns:xs="http://www.w3.org/2001/XMLSchema" xmlns:p="http://schemas.microsoft.com/office/2006/metadata/properties" xmlns:ns1="http://schemas.microsoft.com/sharepoint/v3" xmlns:ns3="acea59b4-b6f5-4c5d-9372-edc5292fe6a7" xmlns:ns4="6ebb43b3-4962-40d2-91ed-d67dd31fdeef" targetNamespace="http://schemas.microsoft.com/office/2006/metadata/properties" ma:root="true" ma:fieldsID="7582fe95913b52544d4b3e17b7a1e0ff" ns1:_="" ns3:_="" ns4:_="">
    <xsd:import namespace="http://schemas.microsoft.com/sharepoint/v3"/>
    <xsd:import namespace="acea59b4-b6f5-4c5d-9372-edc5292fe6a7"/>
    <xsd:import namespace="6ebb43b3-4962-40d2-91ed-d67dd31fde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3:MediaServiceSearchProperties" minOccurs="0"/>
                <xsd:element ref="ns3:_activity"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a59b4-b6f5-4c5d-9372-edc5292fe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bb43b3-4962-40d2-91ed-d67dd31fde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D961A-6FDA-4F42-B018-F5262BFD3335}">
  <ds:schemaRefs>
    <ds:schemaRef ds:uri="http://schemas.microsoft.com/office/2006/metadata/properties"/>
    <ds:schemaRef ds:uri="http://schemas.microsoft.com/office/infopath/2007/PartnerControls"/>
    <ds:schemaRef ds:uri="http://schemas.microsoft.com/sharepoint/v3"/>
    <ds:schemaRef ds:uri="acea59b4-b6f5-4c5d-9372-edc5292fe6a7"/>
  </ds:schemaRefs>
</ds:datastoreItem>
</file>

<file path=customXml/itemProps2.xml><?xml version="1.0" encoding="utf-8"?>
<ds:datastoreItem xmlns:ds="http://schemas.openxmlformats.org/officeDocument/2006/customXml" ds:itemID="{55C712B9-29FB-4CEE-95D8-A7D6FAB4C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a59b4-b6f5-4c5d-9372-edc5292fe6a7"/>
    <ds:schemaRef ds:uri="6ebb43b3-4962-40d2-91ed-d67dd31fd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D43AA-7679-4FAF-BC25-C07E3827C6B1}">
  <ds:schemaRefs>
    <ds:schemaRef ds:uri="http://schemas.microsoft.com/sharepoint/v3/contenttype/forms"/>
  </ds:schemaRefs>
</ds:datastoreItem>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Normal.dotm</Template>
  <TotalTime>5937</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cp:lastModifiedBy>Simao,Caio - Cella</cp:lastModifiedBy>
  <cp:revision>68</cp:revision>
  <cp:lastPrinted>2025-01-28T22:06:00Z</cp:lastPrinted>
  <dcterms:created xsi:type="dcterms:W3CDTF">2025-02-06T18:07:00Z</dcterms:created>
  <dcterms:modified xsi:type="dcterms:W3CDTF">2025-04-09T20:46:00Z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0x0101008A87C27299C72541B4F4384CC66327B3</vt:lpwstr>
  </property>
</Properties>
</file>